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52DE" w14:textId="77777777" w:rsidR="00004AE3" w:rsidRDefault="00AA75A6">
      <w:pPr>
        <w:pStyle w:val="Title"/>
      </w:pPr>
      <w:r>
        <w:t>Implementation Guide</w:t>
      </w:r>
    </w:p>
    <w:p w14:paraId="250FB3D0" w14:textId="58FDF984" w:rsidR="00CD3F3D" w:rsidRDefault="00CD3F3D" w:rsidP="00CD3F3D">
      <w:pPr>
        <w:pBdr>
          <w:top w:val="nil"/>
          <w:left w:val="nil"/>
          <w:bottom w:val="nil"/>
          <w:right w:val="nil"/>
          <w:between w:val="nil"/>
        </w:pBdr>
        <w:spacing w:before="800" w:after="800"/>
        <w:rPr>
          <w:rFonts w:ascii="Arial" w:eastAsia="Arial" w:hAnsi="Arial" w:cs="Arial"/>
          <w:b/>
          <w:color w:val="000000"/>
          <w:sz w:val="40"/>
          <w:szCs w:val="40"/>
        </w:rPr>
      </w:pPr>
      <w:r>
        <w:rPr>
          <w:rFonts w:ascii="Arial" w:eastAsia="Arial" w:hAnsi="Arial" w:cs="Arial"/>
          <w:b/>
          <w:color w:val="000000"/>
          <w:sz w:val="40"/>
          <w:szCs w:val="40"/>
        </w:rPr>
        <w:t>Warfarin - Antidepressants</w:t>
      </w:r>
    </w:p>
    <w:p w14:paraId="3E892D32" w14:textId="55C5EC86" w:rsidR="00004AE3" w:rsidRDefault="00AA75A6">
      <w:pPr>
        <w:pBdr>
          <w:top w:val="nil"/>
          <w:left w:val="nil"/>
          <w:bottom w:val="nil"/>
          <w:right w:val="nil"/>
          <w:between w:val="nil"/>
        </w:pBdr>
        <w:spacing w:before="0" w:after="0"/>
        <w:rPr>
          <w:b/>
          <w:color w:val="000000"/>
        </w:rPr>
      </w:pPr>
      <w:r>
        <w:rPr>
          <w:b/>
          <w:color w:val="000000"/>
        </w:rPr>
        <w:t xml:space="preserve">Prepared by: </w:t>
      </w:r>
    </w:p>
    <w:p w14:paraId="2F979B5A" w14:textId="77777777" w:rsidR="00004AE3" w:rsidRDefault="00AA75A6">
      <w:pPr>
        <w:spacing w:before="0" w:after="240"/>
      </w:pPr>
      <w:r>
        <w:t>MDIA contact information</w:t>
      </w:r>
    </w:p>
    <w:p w14:paraId="44228B36" w14:textId="77777777" w:rsidR="00CD3F3D" w:rsidRDefault="00CD3F3D" w:rsidP="00CD3F3D">
      <w:pPr>
        <w:pBdr>
          <w:top w:val="nil"/>
          <w:left w:val="nil"/>
          <w:bottom w:val="nil"/>
          <w:right w:val="nil"/>
          <w:between w:val="nil"/>
        </w:pBdr>
        <w:spacing w:before="0" w:after="240"/>
        <w:rPr>
          <w:color w:val="000000"/>
        </w:rPr>
      </w:pPr>
      <w:r>
        <w:rPr>
          <w:rFonts w:ascii="Times" w:eastAsia="Times" w:hAnsi="Times" w:cs="Times"/>
          <w:b/>
          <w:color w:val="000000"/>
        </w:rPr>
        <w:t xml:space="preserve">Under funding from AHRQ grants </w:t>
      </w:r>
      <w:r w:rsidRPr="00EC26EB">
        <w:rPr>
          <w:rFonts w:ascii="Times" w:eastAsia="Times" w:hAnsi="Times" w:cs="Times"/>
          <w:b/>
          <w:color w:val="000000"/>
        </w:rPr>
        <w:t>R21 HS023826 and R01 HS025984</w:t>
      </w:r>
    </w:p>
    <w:p w14:paraId="7C437433" w14:textId="2A6E5488" w:rsidR="00CD3F3D" w:rsidRDefault="00CD3F3D" w:rsidP="00CD3F3D">
      <w:pPr>
        <w:spacing w:before="0" w:after="240"/>
        <w:rPr>
          <w:rFonts w:ascii="Times" w:eastAsia="Times" w:hAnsi="Times" w:cs="Times"/>
          <w:b/>
        </w:rPr>
      </w:pPr>
      <w:r>
        <w:rPr>
          <w:rFonts w:ascii="Times" w:eastAsia="Times" w:hAnsi="Times" w:cs="Times"/>
          <w:b/>
        </w:rPr>
        <w:t>MDIA publication No. 00</w:t>
      </w:r>
      <w:r w:rsidR="00A94171">
        <w:rPr>
          <w:rFonts w:ascii="Times" w:eastAsia="Times" w:hAnsi="Times" w:cs="Times"/>
          <w:b/>
        </w:rPr>
        <w:t>2</w:t>
      </w:r>
    </w:p>
    <w:p w14:paraId="7D18EE04" w14:textId="6CEEA390" w:rsidR="00004AE3" w:rsidRDefault="00425094">
      <w:pPr>
        <w:spacing w:before="0" w:after="0"/>
        <w:sectPr w:rsidR="00004AE3">
          <w:pgSz w:w="12240" w:h="15840"/>
          <w:pgMar w:top="1440" w:right="1440" w:bottom="1440" w:left="1440" w:header="0" w:footer="0" w:gutter="0"/>
          <w:pgNumType w:start="1"/>
          <w:cols w:space="720" w:equalWidth="0">
            <w:col w:w="9360"/>
          </w:cols>
        </w:sectPr>
      </w:pPr>
      <w:r>
        <w:rPr>
          <w:rFonts w:ascii="Times" w:eastAsia="Times" w:hAnsi="Times" w:cs="Times"/>
          <w:b/>
        </w:rPr>
        <w:t>August 29</w:t>
      </w:r>
      <w:r w:rsidR="00CD3F3D">
        <w:rPr>
          <w:rFonts w:ascii="Times" w:eastAsia="Times" w:hAnsi="Times" w:cs="Times"/>
          <w:b/>
        </w:rPr>
        <w:t>, 2020</w:t>
      </w:r>
    </w:p>
    <w:p w14:paraId="407015E0" w14:textId="77777777" w:rsidR="00004AE3" w:rsidRDefault="00AA75A6">
      <w:pPr>
        <w:spacing w:after="0"/>
        <w:rPr>
          <w:rFonts w:ascii="Arial" w:eastAsia="Arial" w:hAnsi="Arial" w:cs="Arial"/>
          <w:b/>
        </w:rPr>
      </w:pPr>
      <w:r>
        <w:rPr>
          <w:rFonts w:ascii="Arial" w:eastAsia="Arial" w:hAnsi="Arial" w:cs="Arial"/>
          <w:b/>
        </w:rPr>
        <w:lastRenderedPageBreak/>
        <w:t>Disclaimer</w:t>
      </w:r>
    </w:p>
    <w:p w14:paraId="2704071F" w14:textId="77777777" w:rsidR="00004AE3" w:rsidRDefault="00AA75A6">
      <w:pPr>
        <w:pBdr>
          <w:top w:val="nil"/>
          <w:left w:val="nil"/>
          <w:bottom w:val="nil"/>
          <w:right w:val="nil"/>
          <w:between w:val="nil"/>
        </w:pBdr>
        <w:spacing w:before="0"/>
        <w:rPr>
          <w:color w:val="000000"/>
        </w:rPr>
      </w:pPr>
      <w:r>
        <w:rPr>
          <w:color w:val="000000"/>
        </w:rP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6091F472" w14:textId="77777777" w:rsidR="00004AE3" w:rsidRDefault="00004AE3">
      <w:pPr>
        <w:pBdr>
          <w:top w:val="nil"/>
          <w:left w:val="nil"/>
          <w:bottom w:val="nil"/>
          <w:right w:val="nil"/>
          <w:between w:val="nil"/>
        </w:pBdr>
        <w:rPr>
          <w:color w:val="000000"/>
        </w:rPr>
      </w:pPr>
    </w:p>
    <w:p w14:paraId="5A5B9E7E" w14:textId="77777777" w:rsidR="00004AE3" w:rsidRDefault="00AA75A6">
      <w:pPr>
        <w:spacing w:after="0"/>
        <w:rPr>
          <w:rFonts w:ascii="Arial" w:eastAsia="Arial" w:hAnsi="Arial" w:cs="Arial"/>
          <w:b/>
        </w:rPr>
      </w:pPr>
      <w:bookmarkStart w:id="0" w:name="_heading=h.gjdgxs" w:colFirst="0" w:colLast="0"/>
      <w:bookmarkEnd w:id="0"/>
      <w:r>
        <w:rPr>
          <w:rFonts w:ascii="Arial" w:eastAsia="Arial" w:hAnsi="Arial" w:cs="Arial"/>
          <w:b/>
        </w:rPr>
        <w:t xml:space="preserve">Disclaimer of Conflict of Interest </w:t>
      </w:r>
    </w:p>
    <w:p w14:paraId="07DC22E4" w14:textId="77777777" w:rsidR="00004AE3" w:rsidRDefault="00AA75A6">
      <w:pPr>
        <w:pBdr>
          <w:top w:val="nil"/>
          <w:left w:val="nil"/>
          <w:bottom w:val="nil"/>
          <w:right w:val="nil"/>
          <w:between w:val="nil"/>
        </w:pBdr>
        <w:spacing w:before="0"/>
        <w:rPr>
          <w:color w:val="000000"/>
        </w:rPr>
      </w:pPr>
      <w:r>
        <w:rPr>
          <w:color w:val="000000"/>
        </w:rPr>
        <w:t xml:space="preserve">None of the investigators has any affiliations or financial involvement that conflicts with the material presented in this report. </w:t>
      </w:r>
    </w:p>
    <w:p w14:paraId="23333383" w14:textId="77777777" w:rsidR="00004AE3" w:rsidRDefault="00004AE3">
      <w:pPr>
        <w:pBdr>
          <w:top w:val="nil"/>
          <w:left w:val="nil"/>
          <w:bottom w:val="nil"/>
          <w:right w:val="nil"/>
          <w:between w:val="nil"/>
        </w:pBdr>
        <w:spacing w:before="0"/>
        <w:rPr>
          <w:color w:val="000000"/>
        </w:rPr>
      </w:pPr>
    </w:p>
    <w:p w14:paraId="7E4BE248" w14:textId="77777777" w:rsidR="00004AE3" w:rsidRDefault="00AA75A6">
      <w:pPr>
        <w:spacing w:after="0"/>
        <w:rPr>
          <w:rFonts w:ascii="Arial" w:eastAsia="Arial" w:hAnsi="Arial" w:cs="Arial"/>
          <w:b/>
        </w:rPr>
      </w:pPr>
      <w:bookmarkStart w:id="1" w:name="_heading=h.30j0zll" w:colFirst="0" w:colLast="0"/>
      <w:bookmarkEnd w:id="1"/>
      <w:r>
        <w:rPr>
          <w:rFonts w:ascii="Arial" w:eastAsia="Arial" w:hAnsi="Arial" w:cs="Arial"/>
          <w:b/>
        </w:rPr>
        <w:t xml:space="preserve">Funding Statement </w:t>
      </w:r>
    </w:p>
    <w:p w14:paraId="4034DF1D" w14:textId="075C5F76" w:rsidR="00004AE3" w:rsidRDefault="00AA75A6">
      <w:pPr>
        <w:pBdr>
          <w:top w:val="nil"/>
          <w:left w:val="nil"/>
          <w:bottom w:val="nil"/>
          <w:right w:val="nil"/>
          <w:between w:val="nil"/>
        </w:pBdr>
        <w:spacing w:before="0"/>
        <w:rPr>
          <w:color w:val="000000"/>
        </w:rPr>
      </w:pPr>
      <w:r>
        <w:rPr>
          <w:color w:val="000000"/>
        </w:rPr>
        <w:t xml:space="preserve">This project was funded </w:t>
      </w:r>
      <w:r w:rsidR="00425094">
        <w:rPr>
          <w:color w:val="000000"/>
        </w:rPr>
        <w:t xml:space="preserve">under contract/grant number </w:t>
      </w:r>
      <w:r w:rsidR="00425094" w:rsidRPr="00425094">
        <w:rPr>
          <w:color w:val="000000"/>
        </w:rPr>
        <w:t>R21 HS023826 and R01 HS025984</w:t>
      </w:r>
      <w:r>
        <w:rPr>
          <w:color w:val="000000"/>
        </w:rPr>
        <w:t xml:space="preserve"> 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47603839" w14:textId="77777777" w:rsidR="00004AE3" w:rsidRDefault="00004AE3">
      <w:pPr>
        <w:pBdr>
          <w:top w:val="nil"/>
          <w:left w:val="nil"/>
          <w:bottom w:val="nil"/>
          <w:right w:val="nil"/>
          <w:between w:val="nil"/>
        </w:pBdr>
        <w:spacing w:before="0"/>
        <w:rPr>
          <w:color w:val="000000"/>
        </w:rPr>
      </w:pPr>
    </w:p>
    <w:p w14:paraId="5159B0A2" w14:textId="77777777" w:rsidR="00004AE3" w:rsidRDefault="00AA75A6">
      <w:pPr>
        <w:spacing w:after="0"/>
        <w:rPr>
          <w:rFonts w:ascii="Arial" w:eastAsia="Arial" w:hAnsi="Arial" w:cs="Arial"/>
          <w:b/>
        </w:rPr>
      </w:pPr>
      <w:bookmarkStart w:id="2" w:name="_heading=h.1fob9te" w:colFirst="0" w:colLast="0"/>
      <w:bookmarkEnd w:id="2"/>
      <w:r>
        <w:rPr>
          <w:rFonts w:ascii="Arial" w:eastAsia="Arial" w:hAnsi="Arial" w:cs="Arial"/>
          <w:b/>
        </w:rPr>
        <w:t xml:space="preserve">Public Domain Notice </w:t>
      </w:r>
    </w:p>
    <w:p w14:paraId="78DA0D17" w14:textId="77777777" w:rsidR="00004AE3" w:rsidRDefault="00AA75A6">
      <w:pPr>
        <w:pBdr>
          <w:top w:val="nil"/>
          <w:left w:val="nil"/>
          <w:bottom w:val="nil"/>
          <w:right w:val="nil"/>
          <w:between w:val="nil"/>
        </w:pBdr>
        <w:spacing w:before="0"/>
        <w:rPr>
          <w:color w:val="000000"/>
        </w:rPr>
      </w:pPr>
      <w:r>
        <w:rPr>
          <w:color w:val="000000"/>
        </w:rPr>
        <w:t xml:space="preserve">This document is in the public domain and may be used and reprinted without special permission. Citation of the source is appreciated. </w:t>
      </w:r>
    </w:p>
    <w:p w14:paraId="60352E2E" w14:textId="77777777" w:rsidR="00004AE3" w:rsidRDefault="00004AE3">
      <w:pPr>
        <w:pBdr>
          <w:top w:val="nil"/>
          <w:left w:val="nil"/>
          <w:bottom w:val="nil"/>
          <w:right w:val="nil"/>
          <w:between w:val="nil"/>
        </w:pBdr>
        <w:spacing w:before="0"/>
        <w:rPr>
          <w:color w:val="000000"/>
        </w:rPr>
      </w:pPr>
    </w:p>
    <w:p w14:paraId="37E6A9FC" w14:textId="77777777" w:rsidR="00CD3F3D" w:rsidRDefault="00CD3F3D" w:rsidP="00CD3F3D">
      <w:pPr>
        <w:spacing w:after="0"/>
        <w:rPr>
          <w:rFonts w:ascii="Arial" w:eastAsia="Arial" w:hAnsi="Arial" w:cs="Arial"/>
          <w:b/>
        </w:rPr>
      </w:pPr>
      <w:r>
        <w:rPr>
          <w:rFonts w:ascii="Arial" w:eastAsia="Arial" w:hAnsi="Arial" w:cs="Arial"/>
          <w:b/>
        </w:rPr>
        <w:t xml:space="preserve">Suggested Citation </w:t>
      </w:r>
      <w:bookmarkStart w:id="3" w:name="_heading=h.3znysh7" w:colFirst="0" w:colLast="0"/>
      <w:bookmarkEnd w:id="3"/>
    </w:p>
    <w:p w14:paraId="2713F799" w14:textId="603C9DC8" w:rsidR="00CD3F3D" w:rsidRPr="00B929F0" w:rsidRDefault="00425094" w:rsidP="00CD3F3D">
      <w:pPr>
        <w:spacing w:after="0"/>
        <w:rPr>
          <w:rFonts w:ascii="Arial" w:eastAsia="Arial" w:hAnsi="Arial" w:cs="Arial"/>
          <w:bCs/>
        </w:rPr>
        <w:sectPr w:rsidR="00CD3F3D" w:rsidRPr="00B929F0">
          <w:headerReference w:type="default" r:id="rId8"/>
          <w:footerReference w:type="default" r:id="rId9"/>
          <w:pgSz w:w="12240" w:h="15840"/>
          <w:pgMar w:top="1440" w:right="1440" w:bottom="1440" w:left="1440" w:header="504" w:footer="504" w:gutter="0"/>
          <w:cols w:space="720" w:equalWidth="0">
            <w:col w:w="9360"/>
          </w:cols>
        </w:sectPr>
      </w:pPr>
      <w:r>
        <w:rPr>
          <w:color w:val="000000"/>
        </w:rPr>
        <w:t xml:space="preserve">Chou, E., </w:t>
      </w:r>
      <w:r>
        <w:rPr>
          <w:color w:val="000000"/>
        </w:rPr>
        <w:t xml:space="preserve">Boyce, RD., </w:t>
      </w:r>
      <w:r>
        <w:rPr>
          <w:color w:val="000000"/>
        </w:rPr>
        <w:t xml:space="preserve">Hansten, P., Horn, J., Romero, A. Malone, D. </w:t>
      </w:r>
      <w:r w:rsidRPr="00425094">
        <w:rPr>
          <w:color w:val="000000"/>
        </w:rPr>
        <w:t xml:space="preserve">Warfarin </w:t>
      </w:r>
      <w:r>
        <w:rPr>
          <w:color w:val="000000"/>
        </w:rPr>
        <w:t>–</w:t>
      </w:r>
      <w:r w:rsidRPr="00425094">
        <w:rPr>
          <w:color w:val="000000"/>
        </w:rPr>
        <w:t xml:space="preserve"> Antidepressants</w:t>
      </w:r>
      <w:r>
        <w:rPr>
          <w:color w:val="000000"/>
        </w:rPr>
        <w:t xml:space="preserve"> Clinical Decision Support Implementation Guide. August, 2020. </w:t>
      </w:r>
    </w:p>
    <w:p w14:paraId="2C17986C" w14:textId="77777777" w:rsidR="00004AE3" w:rsidRDefault="00AA75A6">
      <w:pPr>
        <w:keepNext/>
        <w:pBdr>
          <w:top w:val="nil"/>
          <w:left w:val="nil"/>
          <w:bottom w:val="nil"/>
          <w:right w:val="nil"/>
          <w:between w:val="nil"/>
        </w:pBdr>
        <w:spacing w:before="0" w:after="360"/>
        <w:jc w:val="center"/>
        <w:rPr>
          <w:rFonts w:ascii="Arial Narrow" w:eastAsia="Arial Narrow" w:hAnsi="Arial Narrow" w:cs="Arial Narrow"/>
          <w:b/>
          <w:color w:val="000000"/>
          <w:sz w:val="36"/>
          <w:szCs w:val="36"/>
        </w:rPr>
      </w:pPr>
      <w:r>
        <w:rPr>
          <w:rFonts w:ascii="Arial" w:eastAsia="Arial" w:hAnsi="Arial" w:cs="Arial"/>
          <w:b/>
          <w:color w:val="000000"/>
          <w:sz w:val="32"/>
          <w:szCs w:val="32"/>
        </w:rPr>
        <w:lastRenderedPageBreak/>
        <w:t>Table of Contents</w:t>
      </w:r>
    </w:p>
    <w:sdt>
      <w:sdtPr>
        <w:id w:val="-1675254283"/>
        <w:docPartObj>
          <w:docPartGallery w:val="Table of Contents"/>
          <w:docPartUnique/>
        </w:docPartObj>
      </w:sdtPr>
      <w:sdtEndPr/>
      <w:sdtContent>
        <w:p w14:paraId="203F3995" w14:textId="77777777" w:rsidR="00004AE3" w:rsidRDefault="00AA75A6">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r>
            <w:fldChar w:fldCharType="begin"/>
          </w:r>
          <w:r>
            <w:instrText xml:space="preserve"> TOC \h \u \z </w:instrText>
          </w:r>
          <w:r>
            <w:fldChar w:fldCharType="separate"/>
          </w:r>
          <w:hyperlink w:anchor="_heading=h.2et92p0">
            <w:r>
              <w:rPr>
                <w:b/>
                <w:color w:val="000000"/>
                <w:sz w:val="26"/>
                <w:szCs w:val="26"/>
              </w:rPr>
              <w:t>Introduction</w:t>
            </w:r>
            <w:r>
              <w:rPr>
                <w:b/>
                <w:color w:val="000000"/>
                <w:sz w:val="26"/>
                <w:szCs w:val="26"/>
              </w:rPr>
              <w:tab/>
              <w:t>1</w:t>
            </w:r>
          </w:hyperlink>
        </w:p>
        <w:p w14:paraId="3490D482"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tyjcwt">
            <w:r w:rsidR="00AA75A6">
              <w:rPr>
                <w:color w:val="000000"/>
              </w:rPr>
              <w:t>Background</w:t>
            </w:r>
            <w:r w:rsidR="00AA75A6">
              <w:rPr>
                <w:color w:val="000000"/>
              </w:rPr>
              <w:tab/>
              <w:t>1</w:t>
            </w:r>
          </w:hyperlink>
        </w:p>
        <w:p w14:paraId="33354EBA"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3dy6vkm">
            <w:r w:rsidR="00AA75A6">
              <w:rPr>
                <w:color w:val="000000"/>
              </w:rPr>
              <w:t>Audience, Purpose, and Scope of this Implementation Guide</w:t>
            </w:r>
            <w:r w:rsidR="00AA75A6">
              <w:rPr>
                <w:color w:val="000000"/>
              </w:rPr>
              <w:tab/>
              <w:t>1</w:t>
            </w:r>
          </w:hyperlink>
        </w:p>
        <w:p w14:paraId="1F1A04B2"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1t3h5sf">
            <w:r w:rsidR="00AA75A6">
              <w:rPr>
                <w:b/>
                <w:color w:val="000000"/>
                <w:sz w:val="26"/>
                <w:szCs w:val="26"/>
              </w:rPr>
              <w:t>Implementing and Using This Artifact</w:t>
            </w:r>
            <w:r w:rsidR="00AA75A6">
              <w:rPr>
                <w:b/>
                <w:color w:val="000000"/>
                <w:sz w:val="26"/>
                <w:szCs w:val="26"/>
              </w:rPr>
              <w:tab/>
              <w:t>1</w:t>
            </w:r>
          </w:hyperlink>
        </w:p>
        <w:p w14:paraId="4432F34F"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d34og8">
            <w:r w:rsidR="00AA75A6">
              <w:rPr>
                <w:color w:val="000000"/>
              </w:rPr>
              <w:t>Description and Purpose of the artifact</w:t>
            </w:r>
            <w:r w:rsidR="00AA75A6">
              <w:rPr>
                <w:color w:val="000000"/>
              </w:rPr>
              <w:tab/>
              <w:t>1</w:t>
            </w:r>
          </w:hyperlink>
        </w:p>
        <w:p w14:paraId="71AD04F3"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2s8eyo1">
            <w:r w:rsidR="00AA75A6">
              <w:rPr>
                <w:color w:val="000000"/>
              </w:rPr>
              <w:t>Summary of the Clinical Statement</w:t>
            </w:r>
            <w:r w:rsidR="00AA75A6">
              <w:rPr>
                <w:color w:val="000000"/>
              </w:rPr>
              <w:tab/>
              <w:t>1</w:t>
            </w:r>
          </w:hyperlink>
        </w:p>
        <w:p w14:paraId="15A3C3A9"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17dp8vu">
            <w:r w:rsidR="00AA75A6">
              <w:rPr>
                <w:color w:val="000000"/>
              </w:rPr>
              <w:t>Primary Use Case</w:t>
            </w:r>
            <w:r w:rsidR="00AA75A6">
              <w:rPr>
                <w:color w:val="000000"/>
              </w:rPr>
              <w:tab/>
              <w:t>1</w:t>
            </w:r>
          </w:hyperlink>
        </w:p>
        <w:p w14:paraId="4695D4BB"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3rdcrjn">
            <w:r w:rsidR="00AA75A6">
              <w:rPr>
                <w:color w:val="000000"/>
              </w:rPr>
              <w:t>Recommendations and Suggested Actions</w:t>
            </w:r>
            <w:r w:rsidR="00AA75A6">
              <w:rPr>
                <w:color w:val="000000"/>
              </w:rPr>
              <w:tab/>
              <w:t>1</w:t>
            </w:r>
          </w:hyperlink>
        </w:p>
        <w:p w14:paraId="7D0ED575"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6in1rg">
            <w:r w:rsidR="00AA75A6">
              <w:rPr>
                <w:b/>
                <w:color w:val="000000"/>
                <w:sz w:val="26"/>
                <w:szCs w:val="26"/>
              </w:rPr>
              <w:t>Guideline Interpretation and Clinical Decisions</w:t>
            </w:r>
            <w:r w:rsidR="00AA75A6">
              <w:rPr>
                <w:b/>
                <w:color w:val="000000"/>
                <w:sz w:val="26"/>
                <w:szCs w:val="26"/>
              </w:rPr>
              <w:tab/>
              <w:t>1</w:t>
            </w:r>
          </w:hyperlink>
        </w:p>
        <w:p w14:paraId="3D1FED4E"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5nkun2">
            <w:r w:rsidR="00AA75A6">
              <w:rPr>
                <w:b/>
                <w:color w:val="000000"/>
                <w:sz w:val="26"/>
                <w:szCs w:val="26"/>
              </w:rPr>
              <w:t>Artifact Manifest</w:t>
            </w:r>
            <w:r w:rsidR="00AA75A6">
              <w:rPr>
                <w:b/>
                <w:color w:val="000000"/>
                <w:sz w:val="26"/>
                <w:szCs w:val="26"/>
              </w:rPr>
              <w:tab/>
              <w:t>2</w:t>
            </w:r>
          </w:hyperlink>
        </w:p>
        <w:p w14:paraId="0CDF904C"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4sinio">
            <w:r w:rsidR="00AA75A6">
              <w:rPr>
                <w:color w:val="000000"/>
              </w:rPr>
              <w:t>Artifact Relationship Diagram</w:t>
            </w:r>
            <w:r w:rsidR="00AA75A6">
              <w:rPr>
                <w:color w:val="000000"/>
              </w:rPr>
              <w:tab/>
              <w:t>3</w:t>
            </w:r>
          </w:hyperlink>
        </w:p>
        <w:p w14:paraId="77AF679B"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jxsxqh">
            <w:r w:rsidR="00AA75A6">
              <w:rPr>
                <w:b/>
                <w:color w:val="000000"/>
                <w:sz w:val="26"/>
                <w:szCs w:val="26"/>
              </w:rPr>
              <w:t>Testing</w:t>
            </w:r>
            <w:r w:rsidR="00AA75A6">
              <w:rPr>
                <w:b/>
                <w:color w:val="000000"/>
                <w:sz w:val="26"/>
                <w:szCs w:val="26"/>
              </w:rPr>
              <w:tab/>
              <w:t>3</w:t>
            </w:r>
          </w:hyperlink>
        </w:p>
        <w:p w14:paraId="1F26A7C3"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z337ya">
            <w:r w:rsidR="00AA75A6">
              <w:rPr>
                <w:b/>
                <w:color w:val="000000"/>
                <w:sz w:val="26"/>
                <w:szCs w:val="26"/>
              </w:rPr>
              <w:t>Implementation Checklist</w:t>
            </w:r>
            <w:r w:rsidR="00AA75A6">
              <w:rPr>
                <w:b/>
                <w:color w:val="000000"/>
                <w:sz w:val="26"/>
                <w:szCs w:val="26"/>
              </w:rPr>
              <w:tab/>
              <w:t>3</w:t>
            </w:r>
          </w:hyperlink>
        </w:p>
        <w:p w14:paraId="28FEA075"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1y810tw">
            <w:r w:rsidR="00AA75A6">
              <w:rPr>
                <w:b/>
                <w:color w:val="000000"/>
                <w:sz w:val="26"/>
                <w:szCs w:val="26"/>
              </w:rPr>
              <w:t>Potential Reuse Scenarios</w:t>
            </w:r>
            <w:r w:rsidR="00AA75A6">
              <w:rPr>
                <w:b/>
                <w:color w:val="000000"/>
                <w:sz w:val="26"/>
                <w:szCs w:val="26"/>
              </w:rPr>
              <w:tab/>
              <w:t>4</w:t>
            </w:r>
          </w:hyperlink>
        </w:p>
        <w:p w14:paraId="4B5E8052"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4i7ojhp">
            <w:r w:rsidR="00AA75A6">
              <w:rPr>
                <w:b/>
                <w:color w:val="000000"/>
                <w:sz w:val="26"/>
                <w:szCs w:val="26"/>
              </w:rPr>
              <w:t>General Information About CQL</w:t>
            </w:r>
            <w:r w:rsidR="00AA75A6">
              <w:rPr>
                <w:b/>
                <w:color w:val="000000"/>
                <w:sz w:val="26"/>
                <w:szCs w:val="26"/>
              </w:rPr>
              <w:tab/>
              <w:t>4</w:t>
            </w:r>
          </w:hyperlink>
        </w:p>
        <w:p w14:paraId="036D9F23"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2xcytpi">
            <w:r w:rsidR="00AA75A6">
              <w:rPr>
                <w:b/>
                <w:color w:val="000000"/>
                <w:sz w:val="26"/>
                <w:szCs w:val="26"/>
              </w:rPr>
              <w:t>Appendix A: Test Data</w:t>
            </w:r>
            <w:r w:rsidR="00AA75A6">
              <w:rPr>
                <w:b/>
                <w:color w:val="000000"/>
                <w:sz w:val="26"/>
                <w:szCs w:val="26"/>
              </w:rPr>
              <w:tab/>
              <w:t>a</w:t>
            </w:r>
          </w:hyperlink>
        </w:p>
        <w:p w14:paraId="1F7EB0EC"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as4poj">
            <w:r w:rsidR="00AA75A6">
              <w:rPr>
                <w:b/>
                <w:color w:val="000000"/>
                <w:sz w:val="26"/>
                <w:szCs w:val="26"/>
              </w:rPr>
              <w:t>Appendix B: Decision Log</w:t>
            </w:r>
            <w:r w:rsidR="00AA75A6">
              <w:rPr>
                <w:b/>
                <w:color w:val="000000"/>
                <w:sz w:val="26"/>
                <w:szCs w:val="26"/>
              </w:rPr>
              <w:tab/>
              <w:t>c</w:t>
            </w:r>
          </w:hyperlink>
        </w:p>
        <w:p w14:paraId="5A5611D8" w14:textId="77777777" w:rsidR="00004AE3" w:rsidRDefault="006C7BDA">
          <w:pPr>
            <w:pBdr>
              <w:top w:val="nil"/>
              <w:left w:val="nil"/>
              <w:bottom w:val="nil"/>
              <w:right w:val="nil"/>
              <w:between w:val="nil"/>
            </w:pBdr>
            <w:tabs>
              <w:tab w:val="left" w:pos="1080"/>
              <w:tab w:val="right" w:pos="9360"/>
            </w:tabs>
            <w:spacing w:before="0" w:after="0"/>
            <w:ind w:left="936" w:hanging="576"/>
            <w:rPr>
              <w:rFonts w:ascii="Calibri" w:eastAsia="Calibri" w:hAnsi="Calibri" w:cs="Calibri"/>
              <w:color w:val="000000"/>
              <w:sz w:val="22"/>
              <w:szCs w:val="22"/>
            </w:rPr>
          </w:pPr>
          <w:hyperlink w:anchor="_heading=h.49x2ik5">
            <w:r w:rsidR="00AA75A6">
              <w:rPr>
                <w:color w:val="000000"/>
              </w:rPr>
              <w:t>Decision Logs</w:t>
            </w:r>
            <w:r w:rsidR="00AA75A6">
              <w:rPr>
                <w:color w:val="000000"/>
              </w:rPr>
              <w:tab/>
              <w:t>d</w:t>
            </w:r>
          </w:hyperlink>
        </w:p>
        <w:p w14:paraId="32F76994"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3o7alnk">
            <w:r w:rsidR="00AA75A6">
              <w:rPr>
                <w:b/>
                <w:color w:val="000000"/>
                <w:sz w:val="26"/>
                <w:szCs w:val="26"/>
              </w:rPr>
              <w:t>Appendix C: Acronyms</w:t>
            </w:r>
            <w:r w:rsidR="00AA75A6">
              <w:rPr>
                <w:b/>
                <w:color w:val="000000"/>
                <w:sz w:val="26"/>
                <w:szCs w:val="26"/>
              </w:rPr>
              <w:tab/>
              <w:t>f</w:t>
            </w:r>
          </w:hyperlink>
        </w:p>
        <w:p w14:paraId="589A3200" w14:textId="77777777" w:rsidR="00004AE3" w:rsidRDefault="006C7BD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2"/>
              <w:szCs w:val="22"/>
            </w:rPr>
          </w:pPr>
          <w:hyperlink w:anchor="_heading=h.ihv636">
            <w:r w:rsidR="00AA75A6">
              <w:rPr>
                <w:b/>
                <w:color w:val="000000"/>
                <w:sz w:val="26"/>
                <w:szCs w:val="26"/>
              </w:rPr>
              <w:t>Reference List</w:t>
            </w:r>
            <w:r w:rsidR="00AA75A6">
              <w:rPr>
                <w:b/>
                <w:color w:val="000000"/>
                <w:sz w:val="26"/>
                <w:szCs w:val="26"/>
              </w:rPr>
              <w:tab/>
              <w:t>g</w:t>
            </w:r>
          </w:hyperlink>
        </w:p>
        <w:p w14:paraId="2E7CFEAC" w14:textId="77777777" w:rsidR="00004AE3" w:rsidRDefault="00AA75A6">
          <w:pPr>
            <w:rPr>
              <w:sz w:val="26"/>
              <w:szCs w:val="26"/>
            </w:rPr>
          </w:pPr>
          <w:r>
            <w:fldChar w:fldCharType="end"/>
          </w:r>
        </w:p>
      </w:sdtContent>
    </w:sdt>
    <w:p w14:paraId="0C42C9B4" w14:textId="77777777" w:rsidR="00004AE3" w:rsidRDefault="00AA75A6">
      <w:pPr>
        <w:spacing w:before="0" w:after="0"/>
      </w:pPr>
      <w:r>
        <w:rPr>
          <w:rFonts w:ascii="Arial" w:eastAsia="Arial" w:hAnsi="Arial" w:cs="Arial"/>
          <w:b/>
          <w:sz w:val="28"/>
          <w:szCs w:val="28"/>
        </w:rPr>
        <w:t>Figures</w:t>
      </w:r>
    </w:p>
    <w:sdt>
      <w:sdtPr>
        <w:id w:val="-139736370"/>
        <w:docPartObj>
          <w:docPartGallery w:val="Table of Contents"/>
          <w:docPartUnique/>
        </w:docPartObj>
      </w:sdtPr>
      <w:sdtEndPr/>
      <w:sdtContent>
        <w:p w14:paraId="7940C139" w14:textId="77777777" w:rsidR="00004AE3" w:rsidRDefault="00AA75A6">
          <w:pPr>
            <w:pBdr>
              <w:top w:val="nil"/>
              <w:left w:val="nil"/>
              <w:bottom w:val="nil"/>
              <w:right w:val="nil"/>
              <w:between w:val="nil"/>
            </w:pBdr>
            <w:tabs>
              <w:tab w:val="right" w:pos="9350"/>
            </w:tabs>
            <w:rPr>
              <w:color w:val="000000"/>
            </w:rPr>
          </w:pPr>
          <w:r>
            <w:fldChar w:fldCharType="begin"/>
          </w:r>
          <w:r>
            <w:instrText xml:space="preserve"> TOC \h \u \z </w:instrText>
          </w:r>
          <w:r>
            <w:fldChar w:fldCharType="separate"/>
          </w:r>
          <w:hyperlink w:anchor="_heading=h.1v1yuxt">
            <w:r>
              <w:rPr>
                <w:color w:val="000000"/>
              </w:rPr>
              <w:t>Figure 1: Artifact Relationship Diagram</w:t>
            </w:r>
            <w:r>
              <w:rPr>
                <w:color w:val="000000"/>
              </w:rPr>
              <w:tab/>
              <w:t>7</w:t>
            </w:r>
          </w:hyperlink>
        </w:p>
        <w:p w14:paraId="4441A8CF" w14:textId="77777777" w:rsidR="00004AE3" w:rsidRDefault="006C7BDA">
          <w:pPr>
            <w:pBdr>
              <w:top w:val="nil"/>
              <w:left w:val="nil"/>
              <w:bottom w:val="nil"/>
              <w:right w:val="nil"/>
              <w:between w:val="nil"/>
            </w:pBdr>
            <w:tabs>
              <w:tab w:val="right" w:pos="9350"/>
            </w:tabs>
            <w:rPr>
              <w:color w:val="000000"/>
            </w:rPr>
          </w:pPr>
          <w:hyperlink w:anchor="_heading=h.3j2qqm3">
            <w:r w:rsidR="00AA75A6">
              <w:rPr>
                <w:color w:val="000000"/>
              </w:rPr>
              <w:t>Figure 2: CDS Artifact Maturity Process</w:t>
            </w:r>
            <w:r w:rsidR="00AA75A6">
              <w:rPr>
                <w:color w:val="000000"/>
              </w:rPr>
              <w:tab/>
              <w:t>8</w:t>
            </w:r>
          </w:hyperlink>
        </w:p>
        <w:p w14:paraId="25F5E5D7" w14:textId="77777777" w:rsidR="00004AE3" w:rsidRDefault="00AA75A6">
          <w:r>
            <w:fldChar w:fldCharType="end"/>
          </w:r>
        </w:p>
      </w:sdtContent>
    </w:sdt>
    <w:p w14:paraId="657F3E5F" w14:textId="77777777" w:rsidR="00004AE3" w:rsidRDefault="00AA75A6">
      <w:pPr>
        <w:spacing w:before="0" w:after="0"/>
      </w:pPr>
      <w:r>
        <w:rPr>
          <w:rFonts w:ascii="Arial" w:eastAsia="Arial" w:hAnsi="Arial" w:cs="Arial"/>
          <w:b/>
          <w:sz w:val="28"/>
          <w:szCs w:val="28"/>
        </w:rPr>
        <w:t>Tables</w:t>
      </w:r>
    </w:p>
    <w:sdt>
      <w:sdtPr>
        <w:id w:val="-1513300369"/>
        <w:docPartObj>
          <w:docPartGallery w:val="Table of Contents"/>
          <w:docPartUnique/>
        </w:docPartObj>
      </w:sdtPr>
      <w:sdtEndPr/>
      <w:sdtContent>
        <w:p w14:paraId="5D88B779" w14:textId="77777777" w:rsidR="00004AE3" w:rsidRDefault="00AA75A6">
          <w:pPr>
            <w:pBdr>
              <w:top w:val="nil"/>
              <w:left w:val="nil"/>
              <w:bottom w:val="nil"/>
              <w:right w:val="nil"/>
              <w:between w:val="nil"/>
            </w:pBdr>
            <w:tabs>
              <w:tab w:val="right" w:pos="9350"/>
            </w:tabs>
            <w:rPr>
              <w:rFonts w:ascii="Calibri" w:eastAsia="Calibri" w:hAnsi="Calibri" w:cs="Calibri"/>
              <w:color w:val="000000"/>
            </w:rPr>
          </w:pPr>
          <w:r>
            <w:fldChar w:fldCharType="begin"/>
          </w:r>
          <w:r>
            <w:instrText xml:space="preserve"> TOC \h \u \z </w:instrText>
          </w:r>
          <w:r>
            <w:fldChar w:fldCharType="separate"/>
          </w:r>
          <w:hyperlink w:anchor="_heading=h.1ksv4uv">
            <w:r>
              <w:rPr>
                <w:color w:val="000000"/>
              </w:rPr>
              <w:t>Table 1: Artifact Manifest</w:t>
            </w:r>
            <w:r>
              <w:rPr>
                <w:color w:val="000000"/>
              </w:rPr>
              <w:tab/>
              <w:t>6</w:t>
            </w:r>
          </w:hyperlink>
        </w:p>
        <w:p w14:paraId="60F38B8D"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3whwml4">
            <w:r w:rsidR="00AA75A6">
              <w:rPr>
                <w:color w:val="000000"/>
              </w:rPr>
              <w:t>Table 2: eCQM Basic Tests</w:t>
            </w:r>
            <w:r w:rsidR="00AA75A6">
              <w:rPr>
                <w:color w:val="000000"/>
              </w:rPr>
              <w:tab/>
              <w:t>a</w:t>
            </w:r>
          </w:hyperlink>
        </w:p>
        <w:p w14:paraId="7A3D7DF4"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2bn6wsx">
            <w:r w:rsidR="00AA75A6">
              <w:rPr>
                <w:color w:val="000000"/>
              </w:rPr>
              <w:t>Table 3: eCQM Exclusion Tests</w:t>
            </w:r>
            <w:r w:rsidR="00AA75A6">
              <w:rPr>
                <w:color w:val="000000"/>
              </w:rPr>
              <w:tab/>
              <w:t>b</w:t>
            </w:r>
          </w:hyperlink>
        </w:p>
        <w:p w14:paraId="241602C3"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4f1mdlm">
            <w:r w:rsidR="00AA75A6">
              <w:rPr>
                <w:color w:val="000000"/>
              </w:rPr>
              <w:t>Table 4: eCQM Inclusion Tests</w:t>
            </w:r>
            <w:r w:rsidR="00AA75A6">
              <w:rPr>
                <w:color w:val="000000"/>
              </w:rPr>
              <w:tab/>
              <w:t>c</w:t>
            </w:r>
          </w:hyperlink>
        </w:p>
        <w:p w14:paraId="7B74B5E6"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1pxezwc">
            <w:r w:rsidR="00AA75A6">
              <w:rPr>
                <w:color w:val="000000"/>
              </w:rPr>
              <w:t>Table 5: Definitions of Shiffman’s Steps</w:t>
            </w:r>
            <w:r w:rsidR="00AA75A6">
              <w:rPr>
                <w:color w:val="000000"/>
              </w:rPr>
              <w:tab/>
              <w:t>d</w:t>
            </w:r>
          </w:hyperlink>
        </w:p>
        <w:p w14:paraId="47732833"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2p2csry">
            <w:r w:rsidR="00AA75A6">
              <w:rPr>
                <w:color w:val="000000"/>
              </w:rPr>
              <w:t>Table 6: Decisions Based on “Atomized” Components of the Population Statements</w:t>
            </w:r>
            <w:r w:rsidR="00AA75A6">
              <w:rPr>
                <w:color w:val="000000"/>
              </w:rPr>
              <w:tab/>
              <w:t>f</w:t>
            </w:r>
          </w:hyperlink>
        </w:p>
        <w:p w14:paraId="27D9F8E2" w14:textId="77777777" w:rsidR="00004AE3" w:rsidRDefault="006C7BDA">
          <w:pPr>
            <w:pBdr>
              <w:top w:val="nil"/>
              <w:left w:val="nil"/>
              <w:bottom w:val="nil"/>
              <w:right w:val="nil"/>
              <w:between w:val="nil"/>
            </w:pBdr>
            <w:tabs>
              <w:tab w:val="right" w:pos="9350"/>
            </w:tabs>
            <w:rPr>
              <w:rFonts w:ascii="Calibri" w:eastAsia="Calibri" w:hAnsi="Calibri" w:cs="Calibri"/>
              <w:color w:val="000000"/>
            </w:rPr>
          </w:pPr>
          <w:hyperlink w:anchor="_heading=h.147n2zr">
            <w:r w:rsidR="00AA75A6">
              <w:rPr>
                <w:color w:val="000000"/>
              </w:rPr>
              <w:t>Table 7: Additional Decisions</w:t>
            </w:r>
            <w:r w:rsidR="00AA75A6">
              <w:rPr>
                <w:color w:val="000000"/>
              </w:rPr>
              <w:tab/>
              <w:t>h</w:t>
            </w:r>
          </w:hyperlink>
        </w:p>
        <w:p w14:paraId="702DAD19" w14:textId="77777777" w:rsidR="00004AE3" w:rsidRDefault="00AA75A6">
          <w:r>
            <w:fldChar w:fldCharType="end"/>
          </w:r>
        </w:p>
      </w:sdtContent>
    </w:sdt>
    <w:p w14:paraId="23567E5C" w14:textId="77777777" w:rsidR="00004AE3" w:rsidRDefault="00004AE3">
      <w:pPr>
        <w:sectPr w:rsidR="00004AE3">
          <w:headerReference w:type="default" r:id="rId10"/>
          <w:footerReference w:type="default" r:id="rId11"/>
          <w:headerReference w:type="first" r:id="rId12"/>
          <w:footerReference w:type="first" r:id="rId13"/>
          <w:pgSz w:w="12240" w:h="15840"/>
          <w:pgMar w:top="1440" w:right="1440" w:bottom="1440" w:left="1440" w:header="504" w:footer="504" w:gutter="0"/>
          <w:cols w:space="720" w:equalWidth="0">
            <w:col w:w="9360"/>
          </w:cols>
          <w:titlePg/>
        </w:sectPr>
      </w:pPr>
    </w:p>
    <w:p w14:paraId="483A6703" w14:textId="77777777" w:rsidR="00004AE3" w:rsidRDefault="00AA75A6">
      <w:pPr>
        <w:pStyle w:val="Heading1"/>
      </w:pPr>
      <w:bookmarkStart w:id="5" w:name="_heading=h.2et92p0" w:colFirst="0" w:colLast="0"/>
      <w:bookmarkEnd w:id="5"/>
      <w:r>
        <w:lastRenderedPageBreak/>
        <w:t>Introduction</w:t>
      </w:r>
    </w:p>
    <w:p w14:paraId="172440C3" w14:textId="77777777" w:rsidR="00004AE3" w:rsidRDefault="00AA75A6">
      <w:pPr>
        <w:pStyle w:val="Heading2"/>
      </w:pPr>
      <w:bookmarkStart w:id="6" w:name="_heading=h.tyjcwt" w:colFirst="0" w:colLast="0"/>
      <w:bookmarkEnd w:id="6"/>
      <w:r>
        <w:t>Background</w:t>
      </w:r>
    </w:p>
    <w:p w14:paraId="4FFE1010" w14:textId="77777777" w:rsidR="00CD3F3D" w:rsidRDefault="00CD3F3D" w:rsidP="00CD3F3D">
      <w:bookmarkStart w:id="7" w:name="_heading=h.3dy6vkm" w:colFirst="0" w:colLast="0"/>
      <w:bookmarkEnd w:id="7"/>
      <w:r w:rsidRPr="003C282F">
        <w:t>Ensuring that drug-drug interaction (DDIs) alerts are effective and meaningful is a longstanding clinical informatics issue</w:t>
      </w:r>
      <w:r>
        <w:t>, with alert fatigue serving as an issue that can negatively impact clinician response and patient safety</w:t>
      </w:r>
      <w:r w:rsidRPr="003C282F">
        <w:t>. Existing alerting systems for DDIs are often simplistic in nature or do not take the specific patient and pharmacological contexts into consideration, leading to false or overly sensitive alerts.</w:t>
      </w:r>
    </w:p>
    <w:p w14:paraId="6364F653" w14:textId="77777777" w:rsidR="00004AE3" w:rsidRDefault="00AA75A6">
      <w:pPr>
        <w:pStyle w:val="Heading2"/>
      </w:pPr>
      <w:r>
        <w:t>Audience, Purpose, and Scope of this Implementation Guide</w:t>
      </w:r>
    </w:p>
    <w:p w14:paraId="5E2061F7" w14:textId="54A8D616" w:rsidR="00ED2254" w:rsidRPr="0035308B" w:rsidRDefault="00ED2254" w:rsidP="00ED2254">
      <w:pPr>
        <w:pBdr>
          <w:top w:val="nil"/>
          <w:left w:val="nil"/>
          <w:bottom w:val="nil"/>
          <w:right w:val="nil"/>
          <w:between w:val="nil"/>
        </w:pBdr>
        <w:spacing w:before="0" w:after="0"/>
        <w:rPr>
          <w:bCs/>
          <w:color w:val="000000"/>
        </w:rPr>
      </w:pPr>
      <w:r w:rsidRPr="0035308B">
        <w:rPr>
          <w:bCs/>
          <w:color w:val="000000"/>
        </w:rPr>
        <w:t>This</w:t>
      </w:r>
      <w:r>
        <w:rPr>
          <w:bCs/>
          <w:color w:val="000000"/>
        </w:rPr>
        <w:t xml:space="preserve"> document is designed to assist </w:t>
      </w:r>
      <w:r w:rsidRPr="0035308B">
        <w:rPr>
          <w:bCs/>
          <w:color w:val="000000"/>
        </w:rPr>
        <w:t>developers, clinicians,</w:t>
      </w:r>
      <w:r>
        <w:rPr>
          <w:bCs/>
          <w:color w:val="000000"/>
        </w:rPr>
        <w:t xml:space="preserve"> and</w:t>
      </w:r>
      <w:r w:rsidRPr="0035308B">
        <w:rPr>
          <w:bCs/>
          <w:color w:val="000000"/>
        </w:rPr>
        <w:t xml:space="preserve"> </w:t>
      </w:r>
      <w:r w:rsidRPr="0035308B">
        <w:rPr>
          <w:bCs/>
        </w:rPr>
        <w:t>pharmacists</w:t>
      </w:r>
      <w:r>
        <w:rPr>
          <w:bCs/>
        </w:rPr>
        <w:t xml:space="preserve"> in applying this artifact toward enhancing clinical decision support (CDS) for potential drug-drug interactions between warfarin and antidepressants.</w:t>
      </w:r>
    </w:p>
    <w:p w14:paraId="566E3B27" w14:textId="77777777" w:rsidR="00004AE3" w:rsidRDefault="00004AE3"/>
    <w:p w14:paraId="5DE03935" w14:textId="77777777" w:rsidR="00004AE3" w:rsidRDefault="00AA75A6">
      <w:pPr>
        <w:pStyle w:val="Heading1"/>
      </w:pPr>
      <w:bookmarkStart w:id="8" w:name="_heading=h.1t3h5sf" w:colFirst="0" w:colLast="0"/>
      <w:bookmarkEnd w:id="8"/>
      <w:r>
        <w:t>Implementing and Using This Artifact</w:t>
      </w:r>
    </w:p>
    <w:p w14:paraId="50CC2162" w14:textId="48B962D5" w:rsidR="00EA41C3" w:rsidRDefault="00AA75A6" w:rsidP="003A3D3D">
      <w:pPr>
        <w:pStyle w:val="Heading2"/>
      </w:pPr>
      <w:bookmarkStart w:id="9" w:name="_heading=h.4d34og8" w:colFirst="0" w:colLast="0"/>
      <w:bookmarkEnd w:id="9"/>
      <w:r>
        <w:t>Description and Purpose of the artifact</w:t>
      </w:r>
      <w:bookmarkStart w:id="10" w:name="_heading=h.17dp8vu" w:colFirst="0" w:colLast="0"/>
      <w:bookmarkEnd w:id="10"/>
    </w:p>
    <w:p w14:paraId="5EE73D96" w14:textId="77777777" w:rsidR="003A3D3D" w:rsidRDefault="003A3D3D" w:rsidP="003A3D3D">
      <w:r>
        <w:t>This artifact aims to address risks of bleeding that arise with concurrent use of the drugs warfarin and antidepressants. Depression, anxiety, atrial fibrillation (AF), cardiovascular disease, and thromboembolic disorders often coexist in patients, with warfarin being widely used as an anticoagulant to prevent thromboembolism. Antidepressants are typically grouped according to their mechanism of action, which include</w:t>
      </w:r>
      <w:r w:rsidRPr="002C3965">
        <w:t xml:space="preserve"> selective serotonin reuptake inhibitors (SSRIs), serotonin-norepinephrine reuptake inhibitors (SNRIs), tricyclic antidepressants (TCAs), mirtazapine, and bupropion.</w:t>
      </w:r>
      <w:r>
        <w:t xml:space="preserve"> SSRIs and SNRIs are frequently prescribed to patients taking warfarin who have other comorbidities such as major depression, anxiety, and other psychiatric disorders.</w:t>
      </w:r>
    </w:p>
    <w:p w14:paraId="09ECDD02" w14:textId="0B11684A" w:rsidR="003A3D3D" w:rsidRDefault="003A3D3D" w:rsidP="003A3D3D">
      <w:r w:rsidRPr="009E57C0">
        <w:t>Although there are concerns regarding bleeding risks associated with warfarin and antidepressants, only some antidepressants increase the risk of bleeding when given concurrently with warfarin. Thus, prescribers and pharmacists may see irrelevant warnings because of the lack of distinction across the antidepressants with respect to the risk of bleeding.</w:t>
      </w:r>
      <w:r>
        <w:t xml:space="preserve"> This artifact provides specific and contextualized alerts to enhance the ability of CDS systems to appropriately deliver pertinent information to the clinician.</w:t>
      </w:r>
    </w:p>
    <w:p w14:paraId="3B46A222" w14:textId="77777777" w:rsidR="00004AE3" w:rsidRDefault="00AA75A6">
      <w:pPr>
        <w:pStyle w:val="Heading2"/>
      </w:pPr>
      <w:r>
        <w:t>Primary Use Case</w:t>
      </w:r>
    </w:p>
    <w:p w14:paraId="1DA6ABD8" w14:textId="6AFFF39C" w:rsidR="005248CB" w:rsidRPr="000A4301" w:rsidRDefault="00425094" w:rsidP="005248CB">
      <w:bookmarkStart w:id="11" w:name="_heading=h.3rdcrjn" w:colFirst="0" w:colLast="0"/>
      <w:bookmarkEnd w:id="11"/>
      <w:r w:rsidRPr="00425094">
        <w:t>This project seeks to provide a necessary bridge between electronic health records and healthcare providers in the clinical decision making process. Providing information to clinicians about drug-drug interaction warnings based on known attributes of the medications involved and patient specific factors is our goal. In essence, we seek to get the right information, at the right time, through the right channel, and the right format to clinicians. The construction of meaningful DDI algorithms will permit healthcare providers, organizations, and systems to provide useful decision support to reduce patient harm due to these drug-drug interactions.</w:t>
      </w:r>
    </w:p>
    <w:p w14:paraId="1E1B3E5C" w14:textId="77777777" w:rsidR="005248CB" w:rsidRDefault="005248CB" w:rsidP="005248CB">
      <w:pPr>
        <w:pStyle w:val="Heading2"/>
      </w:pPr>
      <w:r>
        <w:lastRenderedPageBreak/>
        <w:t>Proposed Alerting Algorithm</w:t>
      </w:r>
    </w:p>
    <w:p w14:paraId="29693D7E" w14:textId="77777777" w:rsidR="00754F03" w:rsidRDefault="005248CB" w:rsidP="005248CB">
      <w:r>
        <w:t xml:space="preserve">The algorithm first identifies basic concomitant exposures of warfarin and </w:t>
      </w:r>
      <w:r w:rsidR="00754F03">
        <w:t>antidepressants</w:t>
      </w:r>
      <w:r>
        <w:t>. Among these concomitant exposures, the algorithm identifies whether</w:t>
      </w:r>
      <w:r w:rsidR="00754F03">
        <w:t xml:space="preserve"> the type of antidepressant is a selective serotonin reuptake inhibitor (SSRI) or serotonin-norepinephrine reuptake inhibitor (SNRI)</w:t>
      </w:r>
      <w:r>
        <w:t>.</w:t>
      </w:r>
      <w:r w:rsidR="00754F03">
        <w:t xml:space="preserve"> If so, the algorithm then determines whether the patient has one or more risk factors for major bleeding based on other pertinent medical history and ongoing drug exposures. Patients with one or more risk factors for major bleeding yield a Class 1 (Red) alert, while those without additional risk factors result in a Class 2/3 (Yellow) alert.</w:t>
      </w:r>
    </w:p>
    <w:p w14:paraId="16340E70" w14:textId="14080361" w:rsidR="005248CB" w:rsidRPr="00201F6A" w:rsidRDefault="00754F03" w:rsidP="005248CB">
      <w:r>
        <w:t>For antidepressants that are not SSRI’s or SNRI’s, if the type of antidepressant is a mirtazapine, a Class 2/3 (Yellow) alert is fired. Otherwise, if the antidepressant is a tricyclic or bupropion, a Class 4 (Green) alert is fired.</w:t>
      </w:r>
    </w:p>
    <w:p w14:paraId="661AAF4F" w14:textId="77777777" w:rsidR="005248CB" w:rsidRDefault="005248CB" w:rsidP="005248CB">
      <w:r>
        <w:t>Drug factors involved:</w:t>
      </w:r>
    </w:p>
    <w:p w14:paraId="28C454A0" w14:textId="77777777" w:rsidR="005248CB" w:rsidRDefault="005248CB" w:rsidP="005248CB">
      <w:pPr>
        <w:pStyle w:val="ListParagraph"/>
        <w:numPr>
          <w:ilvl w:val="0"/>
          <w:numId w:val="7"/>
        </w:numPr>
      </w:pPr>
      <w:r>
        <w:t>Warfarin</w:t>
      </w:r>
    </w:p>
    <w:p w14:paraId="799351DE" w14:textId="68494459" w:rsidR="00004AE3" w:rsidRDefault="00754F03" w:rsidP="005248CB">
      <w:pPr>
        <w:pStyle w:val="ListParagraph"/>
        <w:numPr>
          <w:ilvl w:val="0"/>
          <w:numId w:val="7"/>
        </w:numPr>
      </w:pPr>
      <w:r>
        <w:t>SSRI’s and SNRI’s</w:t>
      </w:r>
    </w:p>
    <w:p w14:paraId="006E0040" w14:textId="31B1D3EF" w:rsidR="00754F03" w:rsidRDefault="00754F03" w:rsidP="00754F03">
      <w:pPr>
        <w:pStyle w:val="ListParagraph"/>
        <w:numPr>
          <w:ilvl w:val="0"/>
          <w:numId w:val="7"/>
        </w:numPr>
      </w:pPr>
      <w:r>
        <w:t>Mirtazapine</w:t>
      </w:r>
    </w:p>
    <w:p w14:paraId="0E1C42FB" w14:textId="09235E2D" w:rsidR="00754F03" w:rsidRDefault="00754F03" w:rsidP="00754F03">
      <w:pPr>
        <w:pStyle w:val="ListParagraph"/>
        <w:numPr>
          <w:ilvl w:val="0"/>
          <w:numId w:val="7"/>
        </w:numPr>
      </w:pPr>
      <w:r>
        <w:t>Tricyclics</w:t>
      </w:r>
    </w:p>
    <w:p w14:paraId="35434091" w14:textId="001EF064" w:rsidR="003E4BB1" w:rsidRDefault="00754F03" w:rsidP="003E4BB1">
      <w:pPr>
        <w:pStyle w:val="ListParagraph"/>
        <w:numPr>
          <w:ilvl w:val="0"/>
          <w:numId w:val="7"/>
        </w:numPr>
      </w:pPr>
      <w:r>
        <w:t>Bupropion</w:t>
      </w:r>
    </w:p>
    <w:p w14:paraId="3F7658BA" w14:textId="040E6EDF" w:rsidR="003E4BB1" w:rsidRDefault="003E4BB1" w:rsidP="003E4BB1">
      <w:r>
        <w:t>Risk factors considered for major bleeding:</w:t>
      </w:r>
    </w:p>
    <w:p w14:paraId="3509CC1A" w14:textId="38C021FA" w:rsidR="0000790C" w:rsidRDefault="0000790C" w:rsidP="003E4BB1">
      <w:pPr>
        <w:pStyle w:val="ListParagraph"/>
        <w:numPr>
          <w:ilvl w:val="0"/>
          <w:numId w:val="7"/>
        </w:numPr>
      </w:pPr>
      <w:r>
        <w:t>History of Gastrointestinal Bleeds</w:t>
      </w:r>
    </w:p>
    <w:p w14:paraId="3DE439CE" w14:textId="67E24F9E" w:rsidR="003E4BB1" w:rsidRDefault="003E4BB1" w:rsidP="003E4BB1">
      <w:pPr>
        <w:pStyle w:val="ListParagraph"/>
        <w:numPr>
          <w:ilvl w:val="0"/>
          <w:numId w:val="7"/>
        </w:numPr>
      </w:pPr>
      <w:r>
        <w:t>Older than 64 years of age</w:t>
      </w:r>
    </w:p>
    <w:p w14:paraId="701557FB" w14:textId="47FFC339" w:rsidR="003E4BB1" w:rsidRDefault="003E4BB1" w:rsidP="003E4BB1">
      <w:pPr>
        <w:pStyle w:val="ListParagraph"/>
        <w:numPr>
          <w:ilvl w:val="0"/>
          <w:numId w:val="7"/>
        </w:numPr>
      </w:pPr>
      <w:r>
        <w:t>NSAIDs</w:t>
      </w:r>
    </w:p>
    <w:p w14:paraId="39F130FB" w14:textId="3AAC4117" w:rsidR="003E4BB1" w:rsidRDefault="003E4BB1" w:rsidP="003E4BB1">
      <w:pPr>
        <w:pStyle w:val="ListParagraph"/>
        <w:numPr>
          <w:ilvl w:val="0"/>
          <w:numId w:val="7"/>
        </w:numPr>
      </w:pPr>
      <w:r>
        <w:t>Aspirin</w:t>
      </w:r>
    </w:p>
    <w:p w14:paraId="108F1BF8" w14:textId="032A839B" w:rsidR="003E4BB1" w:rsidRDefault="003E4BB1" w:rsidP="003E4BB1">
      <w:pPr>
        <w:pStyle w:val="ListParagraph"/>
        <w:numPr>
          <w:ilvl w:val="0"/>
          <w:numId w:val="7"/>
        </w:numPr>
      </w:pPr>
      <w:r>
        <w:t>Systemic corticosteroids</w:t>
      </w:r>
    </w:p>
    <w:p w14:paraId="11077162" w14:textId="7D49E11A" w:rsidR="003E4BB1" w:rsidRDefault="003E4BB1" w:rsidP="003E4BB1">
      <w:pPr>
        <w:pStyle w:val="ListParagraph"/>
        <w:numPr>
          <w:ilvl w:val="0"/>
          <w:numId w:val="7"/>
        </w:numPr>
      </w:pPr>
      <w:r>
        <w:t>Aldosterone antagonists</w:t>
      </w:r>
    </w:p>
    <w:p w14:paraId="164D99CF" w14:textId="3F5C9232" w:rsidR="003E4BB1" w:rsidRDefault="003E4BB1" w:rsidP="003E4BB1">
      <w:pPr>
        <w:pStyle w:val="ListParagraph"/>
        <w:numPr>
          <w:ilvl w:val="0"/>
          <w:numId w:val="7"/>
        </w:numPr>
      </w:pPr>
      <w:r>
        <w:t>Anti-platelet medications</w:t>
      </w:r>
    </w:p>
    <w:p w14:paraId="72287070" w14:textId="77777777" w:rsidR="0000790C" w:rsidRDefault="0000790C" w:rsidP="003E4BB1"/>
    <w:p w14:paraId="6CF3DE62" w14:textId="3449F2AD" w:rsidR="00004AE3" w:rsidRDefault="00AA75A6" w:rsidP="00754F03">
      <w:pPr>
        <w:pStyle w:val="Heading1"/>
      </w:pPr>
      <w:bookmarkStart w:id="12" w:name="_heading=h.26in1rg" w:colFirst="0" w:colLast="0"/>
      <w:bookmarkEnd w:id="12"/>
      <w:r>
        <w:t xml:space="preserve">Guideline Interpretation and Clinical Decisions </w:t>
      </w:r>
      <w:bookmarkStart w:id="13" w:name="_heading=h.lnxbz9" w:colFirst="0" w:colLast="0"/>
      <w:bookmarkEnd w:id="13"/>
    </w:p>
    <w:p w14:paraId="62A7422C" w14:textId="77777777" w:rsidR="00754F03" w:rsidRDefault="00754F03" w:rsidP="00754F03">
      <w:r>
        <w:t>Alert Classifications:</w:t>
      </w:r>
    </w:p>
    <w:p w14:paraId="45A27377" w14:textId="0DF0E585" w:rsidR="00754F03" w:rsidRDefault="00754F03" w:rsidP="00754F03">
      <w:pPr>
        <w:pStyle w:val="ListParagraph"/>
        <w:numPr>
          <w:ilvl w:val="0"/>
          <w:numId w:val="7"/>
        </w:numPr>
      </w:pPr>
      <w:r>
        <w:t>Class 4: Green: No Special Precautions</w:t>
      </w:r>
    </w:p>
    <w:p w14:paraId="73547099" w14:textId="77777777" w:rsidR="006F6499" w:rsidRDefault="006F6499" w:rsidP="006F6499">
      <w:pPr>
        <w:pStyle w:val="ListParagraph"/>
        <w:numPr>
          <w:ilvl w:val="1"/>
          <w:numId w:val="7"/>
        </w:numPr>
      </w:pPr>
      <w:r>
        <w:t>For Warfarin – Antidepressants rule:</w:t>
      </w:r>
    </w:p>
    <w:p w14:paraId="09708F1A" w14:textId="76D2C374" w:rsidR="006F6499" w:rsidRDefault="006F6499" w:rsidP="006F6499">
      <w:pPr>
        <w:pStyle w:val="ListParagraph"/>
        <w:numPr>
          <w:ilvl w:val="2"/>
          <w:numId w:val="7"/>
        </w:numPr>
      </w:pPr>
      <w:r>
        <w:t>Recommendation: No special precautions</w:t>
      </w:r>
    </w:p>
    <w:p w14:paraId="6DA1CD78" w14:textId="15B5A90D" w:rsidR="006F6499" w:rsidRDefault="006F6499" w:rsidP="006F6499">
      <w:pPr>
        <w:pStyle w:val="ListParagraph"/>
        <w:numPr>
          <w:ilvl w:val="2"/>
          <w:numId w:val="7"/>
        </w:numPr>
      </w:pPr>
      <w:r>
        <w:t>Rationale: Increased bleeding risk unlikely</w:t>
      </w:r>
    </w:p>
    <w:p w14:paraId="04348223" w14:textId="77777777" w:rsidR="00754F03" w:rsidRDefault="00754F03" w:rsidP="00754F03">
      <w:pPr>
        <w:pStyle w:val="ListParagraph"/>
        <w:numPr>
          <w:ilvl w:val="0"/>
          <w:numId w:val="7"/>
        </w:numPr>
      </w:pPr>
      <w:r>
        <w:t>Class 2/3: Yellow: Usually Avoid Combination or Minimize Risk</w:t>
      </w:r>
    </w:p>
    <w:p w14:paraId="6D712D63" w14:textId="57EB05E4" w:rsidR="00754F03" w:rsidRDefault="00754F03" w:rsidP="00754F03">
      <w:pPr>
        <w:pStyle w:val="ListParagraph"/>
        <w:numPr>
          <w:ilvl w:val="1"/>
          <w:numId w:val="7"/>
        </w:numPr>
      </w:pPr>
      <w:r>
        <w:t xml:space="preserve">For Warfarin – </w:t>
      </w:r>
      <w:r w:rsidR="003E4BB1">
        <w:t xml:space="preserve">Antidepressants </w:t>
      </w:r>
      <w:r>
        <w:t>rule:</w:t>
      </w:r>
    </w:p>
    <w:p w14:paraId="29E72368" w14:textId="77777777" w:rsidR="00754F03" w:rsidRDefault="00754F03" w:rsidP="00754F03">
      <w:pPr>
        <w:pStyle w:val="ListParagraph"/>
        <w:numPr>
          <w:ilvl w:val="2"/>
          <w:numId w:val="7"/>
        </w:numPr>
      </w:pPr>
      <w:r>
        <w:t>Recommendation: Assess risk and take action if necessary</w:t>
      </w:r>
    </w:p>
    <w:p w14:paraId="23460AC0" w14:textId="331FE56B" w:rsidR="00754F03" w:rsidRDefault="00754F03" w:rsidP="003E4BB1">
      <w:pPr>
        <w:pStyle w:val="ListParagraph"/>
        <w:numPr>
          <w:ilvl w:val="2"/>
          <w:numId w:val="7"/>
        </w:numPr>
      </w:pPr>
      <w:r>
        <w:t xml:space="preserve">Rationale: </w:t>
      </w:r>
      <w:r w:rsidR="003E4BB1">
        <w:t>Increased GI and non-GI bleeding risk is possible</w:t>
      </w:r>
    </w:p>
    <w:p w14:paraId="5117238B" w14:textId="77777777" w:rsidR="00754F03" w:rsidRDefault="00754F03" w:rsidP="00754F03">
      <w:pPr>
        <w:pStyle w:val="ListParagraph"/>
        <w:numPr>
          <w:ilvl w:val="0"/>
          <w:numId w:val="7"/>
        </w:numPr>
      </w:pPr>
      <w:r>
        <w:t>Class 1: Red: Avoid Combination</w:t>
      </w:r>
    </w:p>
    <w:p w14:paraId="7FBB6362" w14:textId="7396BFCC" w:rsidR="00754F03" w:rsidRDefault="00754F03" w:rsidP="00754F03">
      <w:pPr>
        <w:pStyle w:val="ListParagraph"/>
        <w:numPr>
          <w:ilvl w:val="1"/>
          <w:numId w:val="7"/>
        </w:numPr>
      </w:pPr>
      <w:r>
        <w:t xml:space="preserve">For Warfarin – </w:t>
      </w:r>
      <w:r w:rsidR="003E4BB1">
        <w:t>Antidepressants</w:t>
      </w:r>
      <w:r>
        <w:t xml:space="preserve"> rule:</w:t>
      </w:r>
    </w:p>
    <w:p w14:paraId="52E0A947" w14:textId="77777777" w:rsidR="00754F03" w:rsidRDefault="00754F03" w:rsidP="00754F03">
      <w:pPr>
        <w:pStyle w:val="ListParagraph"/>
        <w:numPr>
          <w:ilvl w:val="2"/>
          <w:numId w:val="7"/>
        </w:numPr>
      </w:pPr>
      <w:r>
        <w:t>Recommendation: Use only if benefit outweighs risk</w:t>
      </w:r>
    </w:p>
    <w:p w14:paraId="0FCADA3E" w14:textId="167DCFD5" w:rsidR="00754F03" w:rsidRPr="00394FE5" w:rsidRDefault="00754F03" w:rsidP="00754F03">
      <w:pPr>
        <w:pStyle w:val="ListParagraph"/>
        <w:numPr>
          <w:ilvl w:val="2"/>
          <w:numId w:val="7"/>
        </w:numPr>
      </w:pPr>
      <w:r>
        <w:t xml:space="preserve">Rationale: Increased </w:t>
      </w:r>
      <w:r w:rsidR="003E4BB1">
        <w:t xml:space="preserve">GI and non-GI bleeding risk is </w:t>
      </w:r>
      <w:r>
        <w:t>likely</w:t>
      </w:r>
    </w:p>
    <w:p w14:paraId="007D3F15" w14:textId="2FFF3729" w:rsidR="00754F03" w:rsidRDefault="00754F03" w:rsidP="00754F03">
      <w:pPr>
        <w:pBdr>
          <w:top w:val="nil"/>
          <w:left w:val="nil"/>
          <w:bottom w:val="nil"/>
          <w:right w:val="nil"/>
          <w:between w:val="nil"/>
        </w:pBdr>
        <w:sectPr w:rsidR="00754F03">
          <w:headerReference w:type="default" r:id="rId14"/>
          <w:footerReference w:type="default" r:id="rId15"/>
          <w:headerReference w:type="first" r:id="rId16"/>
          <w:footerReference w:type="first" r:id="rId17"/>
          <w:pgSz w:w="12240" w:h="15840"/>
          <w:pgMar w:top="1440" w:right="1440" w:bottom="1440" w:left="1440" w:header="504" w:footer="504" w:gutter="0"/>
          <w:cols w:space="720" w:equalWidth="0">
            <w:col w:w="9360"/>
          </w:cols>
          <w:titlePg/>
        </w:sectPr>
      </w:pPr>
    </w:p>
    <w:p w14:paraId="5FE9C1B9" w14:textId="77777777" w:rsidR="00004AE3" w:rsidRDefault="00004AE3"/>
    <w:p w14:paraId="25B9BFC9" w14:textId="77777777" w:rsidR="00004AE3" w:rsidRDefault="00AA75A6">
      <w:pPr>
        <w:pStyle w:val="Heading1"/>
      </w:pPr>
      <w:bookmarkStart w:id="15" w:name="_heading=h.35nkun2" w:colFirst="0" w:colLast="0"/>
      <w:bookmarkEnd w:id="15"/>
      <w:r>
        <w:t>Artifact Manifest</w:t>
      </w:r>
    </w:p>
    <w:p w14:paraId="61FF3E56" w14:textId="77777777" w:rsidR="00004AE3" w:rsidRDefault="00AA75A6">
      <w:r>
        <w:t>…</w:t>
      </w:r>
    </w:p>
    <w:p w14:paraId="18074B8D" w14:textId="77777777" w:rsidR="00004AE3" w:rsidRDefault="00AA75A6">
      <w:pPr>
        <w:keepNext/>
        <w:pBdr>
          <w:top w:val="nil"/>
          <w:left w:val="nil"/>
          <w:bottom w:val="nil"/>
          <w:right w:val="nil"/>
          <w:between w:val="nil"/>
        </w:pBdr>
        <w:rPr>
          <w:rFonts w:ascii="Arial" w:eastAsia="Arial" w:hAnsi="Arial" w:cs="Arial"/>
          <w:b/>
          <w:color w:val="000000"/>
          <w:sz w:val="20"/>
          <w:szCs w:val="20"/>
        </w:rPr>
      </w:pPr>
      <w:bookmarkStart w:id="16" w:name="_heading=h.1ksv4uv" w:colFirst="0" w:colLast="0"/>
      <w:bookmarkEnd w:id="16"/>
      <w:r>
        <w:rPr>
          <w:rFonts w:ascii="Arial" w:eastAsia="Arial" w:hAnsi="Arial" w:cs="Arial"/>
          <w:b/>
          <w:color w:val="000000"/>
          <w:sz w:val="20"/>
          <w:szCs w:val="20"/>
        </w:rPr>
        <w:t>Table 1: Artifact Manifest</w:t>
      </w:r>
    </w:p>
    <w:tbl>
      <w:tblPr>
        <w:tblStyle w:val="a"/>
        <w:tblW w:w="9163" w:type="dxa"/>
        <w:tblLayout w:type="fixed"/>
        <w:tblLook w:val="0000" w:firstRow="0" w:lastRow="0" w:firstColumn="0" w:lastColumn="0" w:noHBand="0" w:noVBand="0"/>
      </w:tblPr>
      <w:tblGrid>
        <w:gridCol w:w="3248"/>
        <w:gridCol w:w="3845"/>
        <w:gridCol w:w="2070"/>
      </w:tblGrid>
      <w:tr w:rsidR="00004AE3" w:rsidRPr="00423419" w14:paraId="7C645647" w14:textId="77777777">
        <w:trPr>
          <w:trHeight w:val="420"/>
        </w:trPr>
        <w:tc>
          <w:tcPr>
            <w:tcW w:w="3248" w:type="dxa"/>
            <w:tcBorders>
              <w:top w:val="single" w:sz="4" w:space="0" w:color="000000"/>
              <w:left w:val="single" w:sz="4" w:space="0" w:color="000000"/>
              <w:bottom w:val="single" w:sz="4" w:space="0" w:color="000000"/>
              <w:right w:val="single" w:sz="4" w:space="0" w:color="000000"/>
            </w:tcBorders>
            <w:shd w:val="clear" w:color="auto" w:fill="C6D9F1"/>
          </w:tcPr>
          <w:p w14:paraId="6AEA1FAF" w14:textId="77777777" w:rsidR="00004AE3" w:rsidRPr="00423419" w:rsidRDefault="00AA75A6">
            <w:pPr>
              <w:keepNext/>
              <w:pBdr>
                <w:top w:val="nil"/>
                <w:left w:val="nil"/>
                <w:bottom w:val="nil"/>
                <w:right w:val="nil"/>
                <w:between w:val="nil"/>
              </w:pBdr>
              <w:spacing w:before="60" w:after="60"/>
              <w:jc w:val="center"/>
              <w:rPr>
                <w:rFonts w:ascii="Arial" w:eastAsia="Arial" w:hAnsi="Arial" w:cs="Arial"/>
                <w:b/>
                <w:color w:val="000000"/>
                <w:sz w:val="20"/>
                <w:szCs w:val="20"/>
              </w:rPr>
            </w:pPr>
            <w:r w:rsidRPr="00423419">
              <w:rPr>
                <w:rFonts w:ascii="Arial" w:eastAsia="Arial" w:hAnsi="Arial" w:cs="Arial"/>
                <w:b/>
                <w:color w:val="000000"/>
                <w:sz w:val="20"/>
                <w:szCs w:val="20"/>
              </w:rPr>
              <w:t>Filename</w:t>
            </w:r>
          </w:p>
        </w:tc>
        <w:tc>
          <w:tcPr>
            <w:tcW w:w="3845" w:type="dxa"/>
            <w:tcBorders>
              <w:top w:val="single" w:sz="4" w:space="0" w:color="000000"/>
              <w:left w:val="single" w:sz="4" w:space="0" w:color="000000"/>
              <w:bottom w:val="single" w:sz="4" w:space="0" w:color="000000"/>
              <w:right w:val="single" w:sz="4" w:space="0" w:color="000000"/>
            </w:tcBorders>
            <w:shd w:val="clear" w:color="auto" w:fill="C6D9F1"/>
          </w:tcPr>
          <w:p w14:paraId="32CE7702" w14:textId="77777777" w:rsidR="00004AE3" w:rsidRPr="00423419" w:rsidRDefault="00AA75A6">
            <w:pPr>
              <w:keepNext/>
              <w:pBdr>
                <w:top w:val="nil"/>
                <w:left w:val="nil"/>
                <w:bottom w:val="nil"/>
                <w:right w:val="nil"/>
                <w:between w:val="nil"/>
              </w:pBdr>
              <w:spacing w:before="60" w:after="60"/>
              <w:jc w:val="center"/>
              <w:rPr>
                <w:rFonts w:ascii="Arial" w:eastAsia="Arial" w:hAnsi="Arial" w:cs="Arial"/>
                <w:b/>
                <w:color w:val="000000"/>
                <w:sz w:val="20"/>
                <w:szCs w:val="20"/>
              </w:rPr>
            </w:pPr>
            <w:r w:rsidRPr="00423419">
              <w:rPr>
                <w:rFonts w:ascii="Arial" w:eastAsia="Arial" w:hAnsi="Arial" w:cs="Arial"/>
                <w:b/>
                <w:color w:val="000000"/>
                <w:sz w:val="20"/>
                <w:szCs w:val="20"/>
              </w:rPr>
              <w:t>Purpose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5B85A13" w14:textId="77777777" w:rsidR="00004AE3" w:rsidRPr="00423419" w:rsidRDefault="00AA75A6">
            <w:pPr>
              <w:keepNext/>
              <w:pBdr>
                <w:top w:val="nil"/>
                <w:left w:val="nil"/>
                <w:bottom w:val="nil"/>
                <w:right w:val="nil"/>
                <w:between w:val="nil"/>
              </w:pBdr>
              <w:spacing w:before="60" w:after="60"/>
              <w:jc w:val="center"/>
              <w:rPr>
                <w:rFonts w:ascii="Arial" w:eastAsia="Arial" w:hAnsi="Arial" w:cs="Arial"/>
                <w:b/>
                <w:color w:val="000000"/>
                <w:sz w:val="20"/>
                <w:szCs w:val="20"/>
              </w:rPr>
            </w:pPr>
            <w:r w:rsidRPr="00423419">
              <w:rPr>
                <w:rFonts w:ascii="Arial" w:eastAsia="Arial" w:hAnsi="Arial" w:cs="Arial"/>
                <w:b/>
                <w:color w:val="000000"/>
                <w:sz w:val="20"/>
                <w:szCs w:val="20"/>
              </w:rPr>
              <w:t>Author(s)</w:t>
            </w:r>
          </w:p>
        </w:tc>
      </w:tr>
      <w:tr w:rsidR="007C191D" w:rsidRPr="00423419" w14:paraId="48970B7D"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04ED7A8" w14:textId="4BBDC7A2" w:rsidR="007C191D" w:rsidRPr="00423419" w:rsidRDefault="00425094"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18" w:history="1">
              <w:r w:rsidRPr="00425094">
                <w:rPr>
                  <w:rStyle w:val="Hyperlink"/>
                  <w:rFonts w:ascii="Arial" w:eastAsia="Arial" w:hAnsi="Arial" w:cs="Arial"/>
                  <w:sz w:val="20"/>
                  <w:szCs w:val="20"/>
                </w:rPr>
                <w:t>Logic flow diagram</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5BB4173B" w14:textId="2D2CCEA1"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The flow diagram of the decision tree for this algorithm</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6EC0C0D"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0347F118"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5A0A029" w14:textId="19F3974F"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19" w:history="1">
              <w:r w:rsidR="007C191D" w:rsidRPr="00423419">
                <w:rPr>
                  <w:rStyle w:val="Hyperlink"/>
                  <w:rFonts w:ascii="Arial" w:eastAsia="Arial" w:hAnsi="Arial" w:cs="Arial"/>
                  <w:sz w:val="20"/>
                  <w:szCs w:val="20"/>
                </w:rPr>
                <w:t>warfarin-antidepressants.drl</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5E2D385C" w14:textId="74DD89CF"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Computable Drools code to implement this algorithm’s decision tree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7D7F7BE"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423419" w:rsidRPr="00423419" w14:paraId="3F10689D"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32443BF" w14:textId="566AA50D" w:rsidR="00423419" w:rsidRPr="00423419" w:rsidRDefault="006C7BDA" w:rsidP="007C191D">
            <w:pPr>
              <w:pBdr>
                <w:top w:val="nil"/>
                <w:left w:val="nil"/>
                <w:bottom w:val="nil"/>
                <w:right w:val="nil"/>
                <w:between w:val="nil"/>
              </w:pBdr>
              <w:tabs>
                <w:tab w:val="center" w:pos="4320"/>
              </w:tabs>
              <w:spacing w:before="40" w:after="40"/>
              <w:rPr>
                <w:rFonts w:ascii="Arial" w:hAnsi="Arial" w:cs="Arial"/>
                <w:sz w:val="20"/>
                <w:szCs w:val="20"/>
              </w:rPr>
            </w:pPr>
            <w:hyperlink r:id="rId20" w:history="1">
              <w:r w:rsidR="004F17A7" w:rsidRPr="004F17A7">
                <w:rPr>
                  <w:rStyle w:val="Hyperlink"/>
                  <w:rFonts w:ascii="Arial" w:hAnsi="Arial" w:cs="Arial"/>
                  <w:sz w:val="20"/>
                  <w:szCs w:val="20"/>
                </w:rPr>
                <w:t>Warfarin-Antidepressants CQL</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4147AB4A" w14:textId="45B910E4" w:rsidR="00423419" w:rsidRPr="00423419" w:rsidRDefault="009E132E" w:rsidP="007C191D">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Compressed ZIP folder </w:t>
            </w:r>
            <w:r w:rsidR="00423419">
              <w:rPr>
                <w:rFonts w:ascii="Arial" w:eastAsia="Arial" w:hAnsi="Arial" w:cs="Arial"/>
                <w:color w:val="000000"/>
                <w:sz w:val="20"/>
                <w:szCs w:val="20"/>
              </w:rPr>
              <w:t xml:space="preserve">for CQL code written to run over synthetic test cases in the CQL Testing Framework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5830980" w14:textId="77777777" w:rsidR="00423419" w:rsidRPr="00423419" w:rsidRDefault="00423419"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400AF5BA"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9F8DA9D" w14:textId="175D55C5"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1" w:history="1">
              <w:r w:rsidR="007C191D" w:rsidRPr="00423419">
                <w:rPr>
                  <w:rStyle w:val="Hyperlink"/>
                  <w:rFonts w:ascii="Arial" w:eastAsia="Arial" w:hAnsi="Arial" w:cs="Arial"/>
                  <w:sz w:val="20"/>
                  <w:szCs w:val="20"/>
                </w:rPr>
                <w:t>Warfarin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5AE7C261" w14:textId="72B02162"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warfarin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818F210"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262C7E53"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7F81B6F6" w14:textId="7538A40C"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2" w:history="1">
              <w:r w:rsidR="007C191D" w:rsidRPr="00423419">
                <w:rPr>
                  <w:rStyle w:val="Hyperlink"/>
                  <w:rFonts w:ascii="Arial" w:eastAsia="Arial" w:hAnsi="Arial" w:cs="Arial"/>
                  <w:sz w:val="20"/>
                  <w:szCs w:val="20"/>
                </w:rPr>
                <w:t>SSRI’s and SNRI’s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2E54E5C4" w14:textId="6BE19BFC"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SSRI and SNRI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FF6759"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60C9CC8E" w14:textId="77777777">
        <w:trPr>
          <w:trHeight w:val="560"/>
        </w:trPr>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3F70A73" w14:textId="0A48E518"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3" w:history="1">
              <w:r w:rsidR="007C191D" w:rsidRPr="00423419">
                <w:rPr>
                  <w:rStyle w:val="Hyperlink"/>
                  <w:rFonts w:ascii="Arial" w:eastAsia="Arial" w:hAnsi="Arial" w:cs="Arial"/>
                  <w:sz w:val="20"/>
                  <w:szCs w:val="20"/>
                </w:rPr>
                <w:t>Mirtazapine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07589E85" w14:textId="05081B7F"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mirtazapine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DC60564"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3C348357"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8B94DE9" w14:textId="14A22E7A"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4" w:history="1">
              <w:r w:rsidR="007C191D" w:rsidRPr="00423419">
                <w:rPr>
                  <w:rStyle w:val="Hyperlink"/>
                  <w:rFonts w:ascii="Arial" w:eastAsia="Arial" w:hAnsi="Arial" w:cs="Arial"/>
                  <w:sz w:val="20"/>
                  <w:szCs w:val="20"/>
                </w:rPr>
                <w:t>Tricyclics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37EEB3D2" w14:textId="4A12E102"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tricyclic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B754067"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61AD2A7D"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00A08C7A" w14:textId="5BF56CDD"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5" w:history="1">
              <w:r w:rsidR="007C191D" w:rsidRPr="00423419">
                <w:rPr>
                  <w:rStyle w:val="Hyperlink"/>
                  <w:rFonts w:ascii="Arial" w:eastAsia="Arial" w:hAnsi="Arial" w:cs="Arial"/>
                  <w:sz w:val="20"/>
                  <w:szCs w:val="20"/>
                </w:rPr>
                <w:t>Bupropion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2A39E37D" w14:textId="286AE00C"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bupropion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D8EA9C"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3A42DBB3"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C5FBBFC" w14:textId="68D98F42"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6" w:history="1">
              <w:r w:rsidR="007C191D" w:rsidRPr="00423419">
                <w:rPr>
                  <w:rStyle w:val="Hyperlink"/>
                  <w:rFonts w:ascii="Arial" w:eastAsia="Arial" w:hAnsi="Arial" w:cs="Arial"/>
                  <w:sz w:val="20"/>
                  <w:szCs w:val="20"/>
                </w:rPr>
                <w:t>History of Gastrointestinal Bleeds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2FBB95D4" w14:textId="0A567A3F"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ICD9CM codes for conditions related to a history of gastrointestinal bleeds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A6FB36B"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18790DEA"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51F0327" w14:textId="1A7505E9" w:rsidR="007C191D" w:rsidRPr="00423419" w:rsidRDefault="006C7BDA" w:rsidP="007C191D">
            <w:pPr>
              <w:pBdr>
                <w:top w:val="nil"/>
                <w:left w:val="nil"/>
                <w:bottom w:val="nil"/>
                <w:right w:val="nil"/>
                <w:between w:val="nil"/>
              </w:pBdr>
              <w:tabs>
                <w:tab w:val="center" w:pos="4320"/>
              </w:tabs>
              <w:spacing w:before="40" w:after="40"/>
              <w:rPr>
                <w:rFonts w:ascii="Arial" w:eastAsia="Arial" w:hAnsi="Arial" w:cs="Arial"/>
                <w:color w:val="000000"/>
                <w:sz w:val="20"/>
                <w:szCs w:val="20"/>
              </w:rPr>
            </w:pPr>
            <w:hyperlink r:id="rId27" w:history="1">
              <w:r w:rsidR="007C191D" w:rsidRPr="00423419">
                <w:rPr>
                  <w:rStyle w:val="Hyperlink"/>
                  <w:rFonts w:ascii="Arial" w:eastAsia="Arial" w:hAnsi="Arial" w:cs="Arial"/>
                  <w:sz w:val="20"/>
                  <w:szCs w:val="20"/>
                </w:rPr>
                <w:t>NSAID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31C8A92A" w14:textId="759FA4AF"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NSAID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A0E7A5C"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504FB74C"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D496E71" w14:textId="6F52482F" w:rsidR="007C191D" w:rsidRPr="00423419" w:rsidRDefault="006C7BDA" w:rsidP="007C191D">
            <w:pPr>
              <w:pBdr>
                <w:top w:val="nil"/>
                <w:left w:val="nil"/>
                <w:bottom w:val="nil"/>
                <w:right w:val="nil"/>
                <w:between w:val="nil"/>
              </w:pBdr>
              <w:tabs>
                <w:tab w:val="center" w:pos="4320"/>
              </w:tabs>
              <w:spacing w:before="40" w:after="40"/>
              <w:rPr>
                <w:rFonts w:ascii="Arial" w:hAnsi="Arial" w:cs="Arial"/>
                <w:sz w:val="20"/>
                <w:szCs w:val="20"/>
              </w:rPr>
            </w:pPr>
            <w:hyperlink r:id="rId28" w:history="1">
              <w:r w:rsidR="007C191D" w:rsidRPr="00423419">
                <w:rPr>
                  <w:rStyle w:val="Hyperlink"/>
                  <w:rFonts w:ascii="Arial" w:hAnsi="Arial" w:cs="Arial"/>
                  <w:sz w:val="20"/>
                  <w:szCs w:val="20"/>
                </w:rPr>
                <w:t>Aspirin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351EE2EE" w14:textId="352A5022"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aspirin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CF4A44A"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2F76838C"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B72BC6E" w14:textId="6DFC9400" w:rsidR="007C191D" w:rsidRPr="00423419" w:rsidRDefault="006C7BDA" w:rsidP="007C191D">
            <w:pPr>
              <w:pBdr>
                <w:top w:val="nil"/>
                <w:left w:val="nil"/>
                <w:bottom w:val="nil"/>
                <w:right w:val="nil"/>
                <w:between w:val="nil"/>
              </w:pBdr>
              <w:tabs>
                <w:tab w:val="center" w:pos="4320"/>
              </w:tabs>
              <w:spacing w:before="40" w:after="40"/>
              <w:rPr>
                <w:rFonts w:ascii="Arial" w:hAnsi="Arial" w:cs="Arial"/>
                <w:sz w:val="20"/>
                <w:szCs w:val="20"/>
              </w:rPr>
            </w:pPr>
            <w:hyperlink r:id="rId29" w:history="1">
              <w:r w:rsidR="007C191D" w:rsidRPr="00423419">
                <w:rPr>
                  <w:rStyle w:val="Hyperlink"/>
                  <w:rFonts w:ascii="Arial" w:hAnsi="Arial" w:cs="Arial"/>
                  <w:sz w:val="20"/>
                  <w:szCs w:val="20"/>
                </w:rPr>
                <w:t>Systemic Corticosteroids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0BB3B68F" w14:textId="3C6D2304"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systemic corticosteroid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86F4353"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57C64CAD"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5DD66C3A" w14:textId="05E19A38" w:rsidR="007C191D" w:rsidRPr="00423419" w:rsidRDefault="006C7BDA" w:rsidP="007C191D">
            <w:pPr>
              <w:pBdr>
                <w:top w:val="nil"/>
                <w:left w:val="nil"/>
                <w:bottom w:val="nil"/>
                <w:right w:val="nil"/>
                <w:between w:val="nil"/>
              </w:pBdr>
              <w:tabs>
                <w:tab w:val="center" w:pos="4320"/>
              </w:tabs>
              <w:spacing w:before="40" w:after="40"/>
              <w:rPr>
                <w:rFonts w:ascii="Arial" w:hAnsi="Arial" w:cs="Arial"/>
                <w:sz w:val="20"/>
                <w:szCs w:val="20"/>
              </w:rPr>
            </w:pPr>
            <w:hyperlink r:id="rId30" w:history="1">
              <w:r w:rsidR="007C191D" w:rsidRPr="00423419">
                <w:rPr>
                  <w:rStyle w:val="Hyperlink"/>
                  <w:rFonts w:ascii="Arial" w:hAnsi="Arial" w:cs="Arial"/>
                  <w:sz w:val="20"/>
                  <w:szCs w:val="20"/>
                </w:rPr>
                <w:t>Aldosterone Antagonists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0602E688" w14:textId="53E6D463"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aldosterone antagonist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852B3BE"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64E9F1AE"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11ECC1EF" w14:textId="64970181" w:rsidR="007C191D" w:rsidRPr="00423419" w:rsidRDefault="006C7BDA" w:rsidP="007C191D">
            <w:pPr>
              <w:pBdr>
                <w:top w:val="nil"/>
                <w:left w:val="nil"/>
                <w:bottom w:val="nil"/>
                <w:right w:val="nil"/>
                <w:between w:val="nil"/>
              </w:pBdr>
              <w:tabs>
                <w:tab w:val="center" w:pos="4320"/>
              </w:tabs>
              <w:spacing w:before="40" w:after="40"/>
              <w:rPr>
                <w:rFonts w:ascii="Arial" w:hAnsi="Arial" w:cs="Arial"/>
                <w:sz w:val="20"/>
                <w:szCs w:val="20"/>
              </w:rPr>
            </w:pPr>
            <w:hyperlink r:id="rId31" w:history="1">
              <w:r w:rsidR="007C191D" w:rsidRPr="00423419">
                <w:rPr>
                  <w:rStyle w:val="Hyperlink"/>
                  <w:rFonts w:ascii="Arial" w:hAnsi="Arial" w:cs="Arial"/>
                  <w:sz w:val="20"/>
                  <w:szCs w:val="20"/>
                </w:rPr>
                <w:t>Anti-platelet Medications value set</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42D8B023" w14:textId="13B28503"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VSAC value set containing RxCUI’s for anti-platelet drugs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DE9FF0B"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7C191D" w:rsidRPr="00423419" w14:paraId="21E57E9D"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30371083" w14:textId="5E08DE8D" w:rsidR="007C191D" w:rsidRPr="00423419" w:rsidRDefault="00425094" w:rsidP="007C191D">
            <w:pPr>
              <w:pBdr>
                <w:top w:val="nil"/>
                <w:left w:val="nil"/>
                <w:bottom w:val="nil"/>
                <w:right w:val="nil"/>
                <w:between w:val="nil"/>
              </w:pBdr>
              <w:tabs>
                <w:tab w:val="center" w:pos="4320"/>
              </w:tabs>
              <w:spacing w:before="40" w:after="40"/>
              <w:rPr>
                <w:rFonts w:ascii="Arial" w:hAnsi="Arial" w:cs="Arial"/>
                <w:sz w:val="20"/>
                <w:szCs w:val="20"/>
              </w:rPr>
            </w:pPr>
            <w:hyperlink r:id="rId32" w:history="1">
              <w:r w:rsidRPr="00425094">
                <w:rPr>
                  <w:rStyle w:val="Hyperlink"/>
                  <w:rFonts w:ascii="Arial" w:hAnsi="Arial" w:cs="Arial"/>
                  <w:sz w:val="20"/>
                  <w:szCs w:val="20"/>
                </w:rPr>
                <w:t>Discussion Forum</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4B813ED7" w14:textId="504FE42F"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r w:rsidRPr="00423419">
              <w:rPr>
                <w:rFonts w:ascii="Arial" w:eastAsia="Arial" w:hAnsi="Arial" w:cs="Arial"/>
                <w:color w:val="000000"/>
                <w:sz w:val="20"/>
                <w:szCs w:val="20"/>
              </w:rPr>
              <w:t>Public discussion about the warfarin – antidepressants rule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854A25C" w14:textId="77777777" w:rsidR="007C191D" w:rsidRPr="00423419" w:rsidRDefault="007C191D" w:rsidP="007C191D">
            <w:pPr>
              <w:pBdr>
                <w:top w:val="nil"/>
                <w:left w:val="nil"/>
                <w:bottom w:val="nil"/>
                <w:right w:val="nil"/>
                <w:between w:val="nil"/>
              </w:pBdr>
              <w:spacing w:before="40" w:after="40"/>
              <w:rPr>
                <w:rFonts w:ascii="Arial" w:eastAsia="Arial" w:hAnsi="Arial" w:cs="Arial"/>
                <w:color w:val="000000"/>
                <w:sz w:val="20"/>
                <w:szCs w:val="20"/>
              </w:rPr>
            </w:pPr>
          </w:p>
        </w:tc>
      </w:tr>
      <w:tr w:rsidR="00425094" w:rsidRPr="00423419" w14:paraId="45E5EDA7" w14:textId="77777777">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892A3CF" w14:textId="34341E5A" w:rsidR="00425094" w:rsidRDefault="00425094" w:rsidP="007C191D">
            <w:pPr>
              <w:pBdr>
                <w:top w:val="nil"/>
                <w:left w:val="nil"/>
                <w:bottom w:val="nil"/>
                <w:right w:val="nil"/>
                <w:between w:val="nil"/>
              </w:pBdr>
              <w:tabs>
                <w:tab w:val="center" w:pos="4320"/>
              </w:tabs>
              <w:spacing w:before="40" w:after="40"/>
              <w:rPr>
                <w:rFonts w:ascii="Arial" w:hAnsi="Arial" w:cs="Arial"/>
                <w:sz w:val="20"/>
                <w:szCs w:val="20"/>
              </w:rPr>
            </w:pPr>
            <w:hyperlink r:id="rId33" w:history="1">
              <w:r w:rsidRPr="00425094">
                <w:rPr>
                  <w:rStyle w:val="Hyperlink"/>
                  <w:rFonts w:ascii="Arial" w:hAnsi="Arial" w:cs="Arial"/>
                  <w:sz w:val="20"/>
                  <w:szCs w:val="20"/>
                </w:rPr>
                <w:t>Feedback link</w:t>
              </w:r>
            </w:hyperlink>
          </w:p>
        </w:tc>
        <w:tc>
          <w:tcPr>
            <w:tcW w:w="3845" w:type="dxa"/>
            <w:tcBorders>
              <w:top w:val="single" w:sz="4" w:space="0" w:color="000000"/>
              <w:left w:val="single" w:sz="4" w:space="0" w:color="000000"/>
              <w:bottom w:val="single" w:sz="4" w:space="0" w:color="000000"/>
              <w:right w:val="single" w:sz="4" w:space="0" w:color="000000"/>
            </w:tcBorders>
            <w:shd w:val="clear" w:color="auto" w:fill="FFFFFF"/>
          </w:tcPr>
          <w:p w14:paraId="3CA304F5" w14:textId="77777777" w:rsidR="00425094" w:rsidRPr="00423419" w:rsidRDefault="00425094" w:rsidP="007C191D">
            <w:pPr>
              <w:pBdr>
                <w:top w:val="nil"/>
                <w:left w:val="nil"/>
                <w:bottom w:val="nil"/>
                <w:right w:val="nil"/>
                <w:between w:val="nil"/>
              </w:pBdr>
              <w:spacing w:before="40" w:after="40"/>
              <w:rPr>
                <w:rFonts w:ascii="Arial" w:eastAsia="Arial" w:hAnsi="Arial" w:cs="Arial"/>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501ECCA" w14:textId="77777777" w:rsidR="00425094" w:rsidRPr="00423419" w:rsidRDefault="00425094" w:rsidP="007C191D">
            <w:pPr>
              <w:pBdr>
                <w:top w:val="nil"/>
                <w:left w:val="nil"/>
                <w:bottom w:val="nil"/>
                <w:right w:val="nil"/>
                <w:between w:val="nil"/>
              </w:pBdr>
              <w:spacing w:before="40" w:after="40"/>
              <w:rPr>
                <w:rFonts w:ascii="Arial" w:eastAsia="Arial" w:hAnsi="Arial" w:cs="Arial"/>
                <w:color w:val="000000"/>
                <w:sz w:val="20"/>
                <w:szCs w:val="20"/>
              </w:rPr>
            </w:pPr>
          </w:p>
        </w:tc>
      </w:tr>
    </w:tbl>
    <w:p w14:paraId="459F64DD" w14:textId="77777777" w:rsidR="00004AE3" w:rsidRDefault="00004AE3"/>
    <w:p w14:paraId="0EED5E56" w14:textId="77777777" w:rsidR="00004AE3" w:rsidRDefault="00AA75A6">
      <w:pPr>
        <w:spacing w:before="0" w:after="0"/>
      </w:pPr>
      <w:r>
        <w:br w:type="page"/>
      </w:r>
    </w:p>
    <w:p w14:paraId="4348B9DF" w14:textId="77777777" w:rsidR="00004AE3" w:rsidRDefault="00004AE3"/>
    <w:p w14:paraId="580F756E" w14:textId="77777777" w:rsidR="00004AE3" w:rsidRDefault="00AA75A6">
      <w:pPr>
        <w:pStyle w:val="Heading2"/>
        <w:rPr>
          <w:sz w:val="36"/>
          <w:szCs w:val="36"/>
        </w:rPr>
      </w:pPr>
      <w:bookmarkStart w:id="17" w:name="_heading=h.44sinio" w:colFirst="0" w:colLast="0"/>
      <w:bookmarkEnd w:id="17"/>
      <w:r>
        <w:t>Artifact Relationship Diagram</w:t>
      </w:r>
    </w:p>
    <w:p w14:paraId="6418D97F" w14:textId="77777777" w:rsidR="00004AE3" w:rsidRDefault="00004AE3">
      <w:pPr>
        <w:spacing w:before="0" w:after="0"/>
      </w:pPr>
    </w:p>
    <w:p w14:paraId="09C470E6" w14:textId="709C6C61" w:rsidR="00004AE3" w:rsidRDefault="00AA75A6" w:rsidP="00565A17">
      <w:pPr>
        <w:pStyle w:val="Heading1"/>
      </w:pPr>
      <w:bookmarkStart w:id="18" w:name="_heading=h.2jxsxqh" w:colFirst="0" w:colLast="0"/>
      <w:bookmarkEnd w:id="18"/>
      <w:r>
        <w:t>Testing</w:t>
      </w:r>
    </w:p>
    <w:p w14:paraId="502BDCE7" w14:textId="77777777" w:rsidR="00004AE3" w:rsidRDefault="00AA75A6">
      <w:pPr>
        <w:pStyle w:val="Heading1"/>
      </w:pPr>
      <w:bookmarkStart w:id="19" w:name="_heading=h.z337ya" w:colFirst="0" w:colLast="0"/>
      <w:bookmarkEnd w:id="19"/>
      <w:r>
        <w:t>Implementation Checklist</w:t>
      </w:r>
    </w:p>
    <w:p w14:paraId="3DC67058" w14:textId="77777777" w:rsidR="00004AE3" w:rsidRDefault="00AA75A6">
      <w:r>
        <w:t>Boxwala et al.</w:t>
      </w:r>
      <w:r>
        <w:rPr>
          <w:vertAlign w:val="superscript"/>
        </w:rPr>
        <w:t xml:space="preserve">3 </w:t>
      </w:r>
      <w:r>
        <w:t>developed a multi-layered knowledge representation framework for structuring guideline recommendations as they are transformed into CDS artifacts. The framework defines four “layers” of representation:</w:t>
      </w:r>
    </w:p>
    <w:p w14:paraId="00D0C56D" w14:textId="77777777" w:rsidR="00004AE3" w:rsidRDefault="00AA75A6">
      <w:pPr>
        <w:numPr>
          <w:ilvl w:val="0"/>
          <w:numId w:val="3"/>
        </w:numPr>
        <w:pBdr>
          <w:top w:val="nil"/>
          <w:left w:val="nil"/>
          <w:bottom w:val="nil"/>
          <w:right w:val="nil"/>
          <w:between w:val="nil"/>
        </w:pBdr>
        <w:spacing w:after="0"/>
      </w:pPr>
      <w:r>
        <w:rPr>
          <w:b/>
          <w:color w:val="000000"/>
        </w:rPr>
        <w:t>Narrative</w:t>
      </w:r>
      <w:r>
        <w:rPr>
          <w:color w:val="000000"/>
        </w:rPr>
        <w:t xml:space="preserve"> text created by a guideline or CQM developer (e.g., the recommendation statement described as a sentence).</w:t>
      </w:r>
    </w:p>
    <w:p w14:paraId="643297D3" w14:textId="77777777" w:rsidR="00004AE3" w:rsidRDefault="00AA75A6">
      <w:pPr>
        <w:numPr>
          <w:ilvl w:val="0"/>
          <w:numId w:val="3"/>
        </w:numPr>
        <w:pBdr>
          <w:top w:val="nil"/>
          <w:left w:val="nil"/>
          <w:bottom w:val="nil"/>
          <w:right w:val="nil"/>
          <w:between w:val="nil"/>
        </w:pBdr>
        <w:spacing w:before="0" w:after="0"/>
      </w:pPr>
      <w:r>
        <w:rPr>
          <w:b/>
          <w:color w:val="000000"/>
        </w:rPr>
        <w:t>Semi-structured</w:t>
      </w:r>
      <w:r>
        <w:rPr>
          <w:color w:val="000000"/>
        </w:rPr>
        <w:t xml:space="preserve"> text that describes the recommendations for implementation as CDS, often created by clinical subject matter experts. It serves as a common understanding of the clinical intent as the artifact is translated in to a fully structured format by software engineers.</w:t>
      </w:r>
    </w:p>
    <w:p w14:paraId="03F76076" w14:textId="77777777" w:rsidR="00004AE3" w:rsidRDefault="00AA75A6">
      <w:pPr>
        <w:numPr>
          <w:ilvl w:val="0"/>
          <w:numId w:val="3"/>
        </w:numPr>
        <w:pBdr>
          <w:top w:val="nil"/>
          <w:left w:val="nil"/>
          <w:bottom w:val="nil"/>
          <w:right w:val="nil"/>
          <w:between w:val="nil"/>
        </w:pBdr>
        <w:spacing w:before="0" w:after="0"/>
      </w:pPr>
      <w:r>
        <w:rPr>
          <w:b/>
          <w:color w:val="000000"/>
        </w:rPr>
        <w:t>Structured</w:t>
      </w:r>
      <w:r>
        <w:rPr>
          <w:color w:val="000000"/>
        </w:rPr>
        <w:t xml:space="preserve"> code that is interpretable by a computer and includes data elements, value sets, and coded logic.</w:t>
      </w:r>
    </w:p>
    <w:p w14:paraId="443C2F89" w14:textId="77777777" w:rsidR="00004AE3" w:rsidRDefault="00AA75A6">
      <w:pPr>
        <w:numPr>
          <w:ilvl w:val="0"/>
          <w:numId w:val="3"/>
        </w:numPr>
        <w:pBdr>
          <w:top w:val="nil"/>
          <w:left w:val="nil"/>
          <w:bottom w:val="nil"/>
          <w:right w:val="nil"/>
          <w:between w:val="nil"/>
        </w:pBdr>
        <w:spacing w:before="0"/>
      </w:pPr>
      <w:r>
        <w:rPr>
          <w:b/>
          <w:color w:val="000000"/>
        </w:rPr>
        <w:t>Executable</w:t>
      </w:r>
      <w:r>
        <w:rPr>
          <w:color w:val="000000"/>
        </w:rPr>
        <w:t xml:space="preserve"> code that is interpretable by a CDS system at a local level. This code will vary for each site.</w:t>
      </w:r>
    </w:p>
    <w:p w14:paraId="53F87C1A" w14:textId="77777777" w:rsidR="00004AE3" w:rsidRDefault="00AA75A6">
      <w:r>
        <w:t xml:space="preserve">This artifact is a </w:t>
      </w:r>
      <w:r>
        <w:rPr>
          <w:b/>
        </w:rPr>
        <w:t>structured</w:t>
      </w:r>
      <w:r>
        <w:t xml:space="preserve"> representation of medical knowledge that contains code files that represent the source content (e.g., recommendation statement).</w:t>
      </w:r>
    </w:p>
    <w:p w14:paraId="7EBDC968" w14:textId="77777777" w:rsidR="00004AE3" w:rsidRDefault="00AA75A6">
      <w:pPr>
        <w:keepNext/>
        <w:pBdr>
          <w:top w:val="nil"/>
          <w:left w:val="nil"/>
          <w:bottom w:val="nil"/>
          <w:right w:val="nil"/>
          <w:between w:val="nil"/>
        </w:pBdr>
        <w:rPr>
          <w:rFonts w:ascii="Arial" w:eastAsia="Arial" w:hAnsi="Arial" w:cs="Arial"/>
          <w:b/>
          <w:color w:val="000000"/>
          <w:sz w:val="20"/>
          <w:szCs w:val="20"/>
        </w:rPr>
      </w:pPr>
      <w:bookmarkStart w:id="20" w:name="_heading=h.3j2qqm3" w:colFirst="0" w:colLast="0"/>
      <w:bookmarkEnd w:id="20"/>
      <w:r>
        <w:rPr>
          <w:rFonts w:ascii="Arial" w:eastAsia="Arial" w:hAnsi="Arial" w:cs="Arial"/>
          <w:b/>
          <w:color w:val="000000"/>
          <w:sz w:val="20"/>
          <w:szCs w:val="20"/>
        </w:rPr>
        <w:t>Figure 2: CDS Artifact Maturity Process</w:t>
      </w:r>
    </w:p>
    <w:p w14:paraId="51E4A46C" w14:textId="77777777" w:rsidR="00004AE3" w:rsidRDefault="00AA75A6">
      <w:r>
        <w:rPr>
          <w:noProof/>
        </w:rPr>
        <w:drawing>
          <wp:inline distT="0" distB="0" distL="0" distR="0" wp14:anchorId="7A647066" wp14:editId="7A38EFE3">
            <wp:extent cx="5943600" cy="645160"/>
            <wp:effectExtent l="0" t="0" r="0" b="0"/>
            <wp:docPr id="3" name="image1.png" descr="CDS Artifact Maturity Process, indicating that this is a structured artifact"/>
            <wp:cNvGraphicFramePr/>
            <a:graphic xmlns:a="http://schemas.openxmlformats.org/drawingml/2006/main">
              <a:graphicData uri="http://schemas.openxmlformats.org/drawingml/2006/picture">
                <pic:pic xmlns:pic="http://schemas.openxmlformats.org/drawingml/2006/picture">
                  <pic:nvPicPr>
                    <pic:cNvPr id="0" name="image1.png" descr="CDS Artifact Maturity Process, indicating that this is a structured artifact"/>
                    <pic:cNvPicPr preferRelativeResize="0"/>
                  </pic:nvPicPr>
                  <pic:blipFill>
                    <a:blip r:embed="rId34"/>
                    <a:srcRect/>
                    <a:stretch>
                      <a:fillRect/>
                    </a:stretch>
                  </pic:blipFill>
                  <pic:spPr>
                    <a:xfrm>
                      <a:off x="0" y="0"/>
                      <a:ext cx="5943600" cy="645160"/>
                    </a:xfrm>
                    <a:prstGeom prst="rect">
                      <a:avLst/>
                    </a:prstGeom>
                    <a:ln/>
                  </pic:spPr>
                </pic:pic>
              </a:graphicData>
            </a:graphic>
          </wp:inline>
        </w:drawing>
      </w:r>
    </w:p>
    <w:p w14:paraId="4B84B700" w14:textId="77777777" w:rsidR="00004AE3" w:rsidRDefault="00AA75A6">
      <w:r>
        <w:t>Prior to incorporating this artifact in a production setting, implementers should consider the following items:</w:t>
      </w:r>
    </w:p>
    <w:p w14:paraId="3D6D46D4" w14:textId="77777777" w:rsidR="00004AE3" w:rsidRDefault="00AA75A6">
      <w:pPr>
        <w:numPr>
          <w:ilvl w:val="0"/>
          <w:numId w:val="6"/>
        </w:numPr>
        <w:pBdr>
          <w:top w:val="nil"/>
          <w:left w:val="nil"/>
          <w:bottom w:val="nil"/>
          <w:right w:val="nil"/>
          <w:between w:val="nil"/>
        </w:pBdr>
        <w:spacing w:after="0"/>
      </w:pPr>
      <w:r>
        <w:rPr>
          <w:color w:val="000000"/>
        </w:rPr>
        <w:t>Analyze the purpose, clinical statement, and use case sections of this document to ensure that your organization understands and agrees with the intended goals of the clinical guideline on which this artifact is based.</w:t>
      </w:r>
    </w:p>
    <w:p w14:paraId="244305F7" w14:textId="77777777" w:rsidR="00004AE3" w:rsidRDefault="00AA75A6">
      <w:pPr>
        <w:numPr>
          <w:ilvl w:val="0"/>
          <w:numId w:val="6"/>
        </w:numPr>
        <w:pBdr>
          <w:top w:val="nil"/>
          <w:left w:val="nil"/>
          <w:bottom w:val="nil"/>
          <w:right w:val="nil"/>
          <w:between w:val="nil"/>
        </w:pBdr>
        <w:spacing w:before="0" w:after="0"/>
      </w:pPr>
      <w:r>
        <w:rPr>
          <w:color w:val="000000"/>
        </w:rPr>
        <w:t>Review the “clinical considerations” section of this document (including the decision log in Appendix B) to ensure that your organization understands and agrees with the decisions made during the process to convert the underlying clinical guideline to a structured, computable CDS artifact.</w:t>
      </w:r>
    </w:p>
    <w:p w14:paraId="3A488B21" w14:textId="77777777" w:rsidR="00004AE3" w:rsidRDefault="00AA75A6">
      <w:pPr>
        <w:numPr>
          <w:ilvl w:val="0"/>
          <w:numId w:val="6"/>
        </w:numPr>
        <w:pBdr>
          <w:top w:val="nil"/>
          <w:left w:val="nil"/>
          <w:bottom w:val="nil"/>
          <w:right w:val="nil"/>
          <w:between w:val="nil"/>
        </w:pBdr>
        <w:spacing w:before="0" w:after="0"/>
      </w:pPr>
      <w:r>
        <w:rPr>
          <w:color w:val="000000"/>
        </w:rPr>
        <w:t xml:space="preserve">Technical staff should read through each of the files in the artifact manifest to understand their respective purposes and how they can be successfully incorporated into a clinical IT system. At the time of publication, many COTS EHR systems are unable to use CQL files natively and require a separate application to convert CQL code such that it can be used in those EHR systems. Implementers should work with vendors of their respective health IT products to understand their readiness to implement CQL code and any </w:t>
      </w:r>
      <w:r>
        <w:rPr>
          <w:color w:val="000000"/>
        </w:rPr>
        <w:lastRenderedPageBreak/>
        <w:t>potential adverse impacts to existing functionality. In a pilot setting, developers have worked around existing EHR limitations by implementing a web service wrapper around a CQL execution engine. This is a non-trivial amount of work with two primary components:</w:t>
      </w:r>
    </w:p>
    <w:p w14:paraId="0C0E45E3" w14:textId="77777777" w:rsidR="00004AE3" w:rsidRDefault="00AA75A6">
      <w:pPr>
        <w:numPr>
          <w:ilvl w:val="1"/>
          <w:numId w:val="6"/>
        </w:numPr>
        <w:pBdr>
          <w:top w:val="nil"/>
          <w:left w:val="nil"/>
          <w:bottom w:val="nil"/>
          <w:right w:val="nil"/>
          <w:between w:val="nil"/>
        </w:pBdr>
        <w:spacing w:before="0" w:after="0"/>
      </w:pPr>
      <w:r>
        <w:rPr>
          <w:color w:val="000000"/>
        </w:rPr>
        <w:t>a CQL execution engine with a RESTful web service designed to accept requests for CQL execution and to respond with the calculated results, and</w:t>
      </w:r>
    </w:p>
    <w:p w14:paraId="1A9BC13A" w14:textId="77777777" w:rsidR="00004AE3" w:rsidRDefault="00AA75A6">
      <w:pPr>
        <w:numPr>
          <w:ilvl w:val="1"/>
          <w:numId w:val="6"/>
        </w:numPr>
        <w:pBdr>
          <w:top w:val="nil"/>
          <w:left w:val="nil"/>
          <w:bottom w:val="nil"/>
          <w:right w:val="nil"/>
          <w:between w:val="nil"/>
        </w:pBdr>
        <w:spacing w:before="0" w:after="0"/>
      </w:pPr>
      <w:r>
        <w:rPr>
          <w:color w:val="000000"/>
        </w:rPr>
        <w:t>modifications to the EHR system such that it will</w:t>
      </w:r>
    </w:p>
    <w:p w14:paraId="6450848B" w14:textId="77777777" w:rsidR="00004AE3" w:rsidRDefault="00AA75A6">
      <w:pPr>
        <w:numPr>
          <w:ilvl w:val="2"/>
          <w:numId w:val="6"/>
        </w:numPr>
        <w:pBdr>
          <w:top w:val="nil"/>
          <w:left w:val="nil"/>
          <w:bottom w:val="nil"/>
          <w:right w:val="nil"/>
          <w:between w:val="nil"/>
        </w:pBdr>
        <w:spacing w:before="0" w:after="0"/>
      </w:pPr>
      <w:r>
        <w:rPr>
          <w:color w:val="000000"/>
        </w:rPr>
        <w:t>trigger RESTful events to call the CQL execution engine,</w:t>
      </w:r>
    </w:p>
    <w:p w14:paraId="7FF9A45B" w14:textId="77777777" w:rsidR="00004AE3" w:rsidRDefault="00AA75A6">
      <w:pPr>
        <w:numPr>
          <w:ilvl w:val="2"/>
          <w:numId w:val="6"/>
        </w:numPr>
        <w:pBdr>
          <w:top w:val="nil"/>
          <w:left w:val="nil"/>
          <w:bottom w:val="nil"/>
          <w:right w:val="nil"/>
          <w:between w:val="nil"/>
        </w:pBdr>
        <w:spacing w:before="0" w:after="0"/>
      </w:pPr>
      <w:r>
        <w:rPr>
          <w:color w:val="000000"/>
        </w:rPr>
        <w:t>interpret the response,</w:t>
      </w:r>
    </w:p>
    <w:p w14:paraId="27232B6D" w14:textId="77777777" w:rsidR="00004AE3" w:rsidRDefault="00AA75A6">
      <w:pPr>
        <w:numPr>
          <w:ilvl w:val="2"/>
          <w:numId w:val="6"/>
        </w:numPr>
        <w:pBdr>
          <w:top w:val="nil"/>
          <w:left w:val="nil"/>
          <w:bottom w:val="nil"/>
          <w:right w:val="nil"/>
          <w:between w:val="nil"/>
        </w:pBdr>
        <w:spacing w:before="0" w:after="0"/>
      </w:pPr>
      <w:r>
        <w:rPr>
          <w:color w:val="000000"/>
        </w:rPr>
        <w:t>and reflect the CQL-generated recommendations and suggested actions in the EHR user interface.</w:t>
      </w:r>
    </w:p>
    <w:p w14:paraId="0B45AB86" w14:textId="77777777" w:rsidR="00004AE3" w:rsidRDefault="00AA75A6">
      <w:pPr>
        <w:numPr>
          <w:ilvl w:val="0"/>
          <w:numId w:val="6"/>
        </w:numPr>
        <w:pBdr>
          <w:top w:val="nil"/>
          <w:left w:val="nil"/>
          <w:bottom w:val="nil"/>
          <w:right w:val="nil"/>
          <w:between w:val="nil"/>
        </w:pBdr>
        <w:spacing w:before="0" w:after="0"/>
      </w:pPr>
      <w:r>
        <w:rPr>
          <w:color w:val="000000"/>
        </w:rPr>
        <w:t>After incorporation into a development environment, the artifact should be exhaustively tested against predefined test cases. Additionally, testing should be conducted to ensure that implementation of the artifact has no adverse effect on the processing efficiency of the health IT system.</w:t>
      </w:r>
    </w:p>
    <w:p w14:paraId="0AD1ECA1" w14:textId="77777777" w:rsidR="00004AE3" w:rsidRDefault="00AA75A6">
      <w:pPr>
        <w:numPr>
          <w:ilvl w:val="0"/>
          <w:numId w:val="6"/>
        </w:numPr>
        <w:pBdr>
          <w:top w:val="nil"/>
          <w:left w:val="nil"/>
          <w:bottom w:val="nil"/>
          <w:right w:val="nil"/>
          <w:between w:val="nil"/>
        </w:pBdr>
        <w:spacing w:before="0"/>
      </w:pPr>
      <w:r>
        <w:rPr>
          <w:color w:val="000000"/>
        </w:rPr>
        <w:t>Documentation and training materials for clinical staff should be drafted and distributed. These training materials should include descriptions of modified functionality, directions for interacting with CDS rules (if different than in the current system), and contact information for assistance in the event that functionality does not meet expectations.</w:t>
      </w:r>
    </w:p>
    <w:p w14:paraId="326F91C3" w14:textId="77777777" w:rsidR="00004AE3" w:rsidRDefault="00004AE3">
      <w:pPr>
        <w:spacing w:before="0" w:after="0"/>
      </w:pPr>
    </w:p>
    <w:p w14:paraId="7D37C54C" w14:textId="77777777" w:rsidR="00004AE3" w:rsidRDefault="00AA75A6">
      <w:pPr>
        <w:pStyle w:val="Heading1"/>
      </w:pPr>
      <w:bookmarkStart w:id="21" w:name="_heading=h.1y810tw" w:colFirst="0" w:colLast="0"/>
      <w:bookmarkEnd w:id="21"/>
      <w:r>
        <w:t>Potential Reuse Scenarios</w:t>
      </w:r>
    </w:p>
    <w:p w14:paraId="5F98DE2F" w14:textId="77777777" w:rsidR="00004AE3" w:rsidRDefault="00AA75A6">
      <w:r>
        <w:t>CQL code within this artifact was developed to enact a particular clinical guideline, but there are portions of the CQL code that are expected to be useful for other purposes.</w:t>
      </w:r>
    </w:p>
    <w:p w14:paraId="0690885F" w14:textId="77777777" w:rsidR="00004AE3" w:rsidRDefault="00AA75A6">
      <w:pPr>
        <w:numPr>
          <w:ilvl w:val="0"/>
          <w:numId w:val="6"/>
        </w:numPr>
        <w:pBdr>
          <w:top w:val="nil"/>
          <w:left w:val="nil"/>
          <w:bottom w:val="nil"/>
          <w:right w:val="nil"/>
          <w:between w:val="nil"/>
        </w:pBdr>
        <w:spacing w:after="0"/>
      </w:pPr>
      <w:r>
        <w:rPr>
          <w:color w:val="000000"/>
        </w:rPr>
        <w:t>The CDS_Connect_Commons_for_FHIRv102 and FHIRHelpers libraries included in the artifact define commonly used functions in CQL files and are not specific to the Statin Therapy for the Prevention and Treatment of Cardiovascular Disease (CVD) Electronic Clinical Quality Measure (eCQM) artifact. They are expected to be used with any other CQL file that could benefit from those functions.</w:t>
      </w:r>
    </w:p>
    <w:p w14:paraId="71CC4913" w14:textId="77777777" w:rsidR="00004AE3" w:rsidRDefault="00AA75A6">
      <w:pPr>
        <w:numPr>
          <w:ilvl w:val="0"/>
          <w:numId w:val="6"/>
        </w:numPr>
        <w:pBdr>
          <w:top w:val="nil"/>
          <w:left w:val="nil"/>
          <w:bottom w:val="nil"/>
          <w:right w:val="nil"/>
          <w:between w:val="nil"/>
        </w:pBdr>
        <w:spacing w:before="0"/>
      </w:pPr>
      <w:r>
        <w:rPr>
          <w:color w:val="000000"/>
        </w:rPr>
        <w:t>Selected code blocks from Statin_Therapy_for_the_Prevention_and_Treatment_of_CVD_eCQM_Derived_FHIRv102 could be copied and reused in other CQL files. For example, some have expressed interest in the definition of pregnancy (based on the existence of either a condition code or observation code).</w:t>
      </w:r>
    </w:p>
    <w:p w14:paraId="451C5051" w14:textId="77777777" w:rsidR="00004AE3" w:rsidRDefault="00004AE3"/>
    <w:p w14:paraId="6A421B59" w14:textId="77777777" w:rsidR="00004AE3" w:rsidRDefault="00AA75A6">
      <w:pPr>
        <w:pStyle w:val="Heading1"/>
      </w:pPr>
      <w:bookmarkStart w:id="22" w:name="_heading=h.4i7ojhp" w:colFirst="0" w:colLast="0"/>
      <w:bookmarkEnd w:id="22"/>
      <w:r>
        <w:t>How Artifact Operates Within CQL</w:t>
      </w:r>
    </w:p>
    <w:p w14:paraId="05202311" w14:textId="77777777" w:rsidR="00004AE3" w:rsidRDefault="00AA75A6">
      <w:r>
        <w:t xml:space="preserve">The Statin Therapy for the Prevention and Treatment of Cardiovascular Disease (CVD) Electronic Clinical Quality Measure (eCQM) artifact is composed of several files, but the primary focus of the artifact is the introduction of CQL files that can be used by any healthcare organization to properly identify populations of patients that require a specific message or clinical intervention. CQL is a data standard governed by Health Level 7 (HL7) that is currently a Standard for Trial Use (STU). CQL expresses logic in a human-readable document that is also </w:t>
      </w:r>
      <w:r>
        <w:lastRenderedPageBreak/>
        <w:t>structured enough for electronic processing of a query. It can be used within both the CDS and CQM domains.</w:t>
      </w:r>
    </w:p>
    <w:p w14:paraId="3CEDEEB6" w14:textId="77777777" w:rsidR="00004AE3" w:rsidRDefault="00AA75A6">
      <w:r>
        <w:t>If you would like to learn more about CQL, ther</w:t>
      </w:r>
      <w:bookmarkStart w:id="23" w:name="_GoBack"/>
      <w:bookmarkEnd w:id="23"/>
      <w:r>
        <w:t xml:space="preserve">e are a few resources (care of the </w:t>
      </w:r>
      <w:hyperlink r:id="rId35">
        <w:r>
          <w:rPr>
            <w:color w:val="0000FF"/>
            <w:u w:val="single"/>
          </w:rPr>
          <w:t>eCQI Resource Center</w:t>
        </w:r>
      </w:hyperlink>
      <w:r>
        <w:t>) that you should review:</w:t>
      </w:r>
    </w:p>
    <w:p w14:paraId="0EEB840D" w14:textId="0E29ACA9" w:rsidR="00004AE3" w:rsidRDefault="006C7BDA">
      <w:pPr>
        <w:numPr>
          <w:ilvl w:val="0"/>
          <w:numId w:val="4"/>
        </w:numPr>
        <w:pBdr>
          <w:top w:val="nil"/>
          <w:left w:val="nil"/>
          <w:bottom w:val="nil"/>
          <w:right w:val="nil"/>
          <w:between w:val="nil"/>
        </w:pBdr>
        <w:spacing w:before="0" w:after="0"/>
      </w:pPr>
      <w:hyperlink r:id="rId36">
        <w:r w:rsidR="00AA75A6">
          <w:rPr>
            <w:color w:val="0000FF"/>
            <w:u w:val="single"/>
          </w:rPr>
          <w:t>CQL STU Release 1 at HL7</w:t>
        </w:r>
      </w:hyperlink>
    </w:p>
    <w:p w14:paraId="7C35A895" w14:textId="7F983B58" w:rsidR="00004AE3" w:rsidRDefault="006C7BDA">
      <w:pPr>
        <w:numPr>
          <w:ilvl w:val="0"/>
          <w:numId w:val="4"/>
        </w:numPr>
        <w:pBdr>
          <w:top w:val="nil"/>
          <w:left w:val="nil"/>
          <w:bottom w:val="nil"/>
          <w:right w:val="nil"/>
          <w:between w:val="nil"/>
        </w:pBdr>
        <w:spacing w:before="0" w:after="0"/>
      </w:pPr>
      <w:hyperlink r:id="rId37">
        <w:r w:rsidR="00AA75A6">
          <w:rPr>
            <w:color w:val="0000FF"/>
            <w:u w:val="single"/>
          </w:rPr>
          <w:t>CQL Tools on GitHub</w:t>
        </w:r>
      </w:hyperlink>
    </w:p>
    <w:p w14:paraId="31914F5F" w14:textId="77777777" w:rsidR="00004AE3" w:rsidRDefault="006C7BDA">
      <w:pPr>
        <w:numPr>
          <w:ilvl w:val="0"/>
          <w:numId w:val="4"/>
        </w:numPr>
        <w:pBdr>
          <w:top w:val="nil"/>
          <w:left w:val="nil"/>
          <w:bottom w:val="nil"/>
          <w:right w:val="nil"/>
          <w:between w:val="nil"/>
        </w:pBdr>
        <w:spacing w:before="0" w:after="0"/>
      </w:pPr>
      <w:hyperlink r:id="rId38">
        <w:r w:rsidR="00AA75A6">
          <w:rPr>
            <w:color w:val="0000FF"/>
            <w:u w:val="single"/>
          </w:rPr>
          <w:t>CQL Formatting and Usage Wiki</w:t>
        </w:r>
      </w:hyperlink>
    </w:p>
    <w:p w14:paraId="2E9EB113" w14:textId="77777777" w:rsidR="00004AE3" w:rsidRDefault="006C7BDA">
      <w:pPr>
        <w:numPr>
          <w:ilvl w:val="0"/>
          <w:numId w:val="4"/>
        </w:numPr>
        <w:pBdr>
          <w:top w:val="nil"/>
          <w:left w:val="nil"/>
          <w:bottom w:val="nil"/>
          <w:right w:val="nil"/>
          <w:between w:val="nil"/>
        </w:pBdr>
        <w:spacing w:before="0" w:after="0"/>
      </w:pPr>
      <w:hyperlink r:id="rId39">
        <w:r w:rsidR="00AA75A6">
          <w:rPr>
            <w:color w:val="0000FF"/>
            <w:u w:val="single"/>
          </w:rPr>
          <w:t>CQL Online</w:t>
        </w:r>
      </w:hyperlink>
    </w:p>
    <w:p w14:paraId="40BC6D33" w14:textId="77777777" w:rsidR="00004AE3" w:rsidRPr="00565A17" w:rsidRDefault="006C7BDA">
      <w:pPr>
        <w:numPr>
          <w:ilvl w:val="0"/>
          <w:numId w:val="4"/>
        </w:numPr>
        <w:pBdr>
          <w:top w:val="nil"/>
          <w:left w:val="nil"/>
          <w:bottom w:val="nil"/>
          <w:right w:val="nil"/>
          <w:between w:val="nil"/>
        </w:pBdr>
        <w:spacing w:before="0" w:after="0"/>
      </w:pPr>
      <w:hyperlink r:id="rId40">
        <w:r w:rsidR="00AA75A6">
          <w:rPr>
            <w:color w:val="0000FF"/>
            <w:u w:val="single"/>
          </w:rPr>
          <w:t>CQL Q&amp;As on the eCQI Resource Center</w:t>
        </w:r>
      </w:hyperlink>
    </w:p>
    <w:p w14:paraId="2E51C003" w14:textId="77777777" w:rsidR="00565A17" w:rsidRDefault="00565A17" w:rsidP="00565A17">
      <w:pPr>
        <w:pBdr>
          <w:top w:val="nil"/>
          <w:left w:val="nil"/>
          <w:bottom w:val="nil"/>
          <w:right w:val="nil"/>
          <w:between w:val="nil"/>
        </w:pBdr>
        <w:spacing w:before="0" w:after="0"/>
        <w:rPr>
          <w:color w:val="0000FF"/>
          <w:u w:val="single"/>
        </w:rPr>
      </w:pPr>
    </w:p>
    <w:p w14:paraId="11400F8E" w14:textId="77777777" w:rsidR="00565A17" w:rsidRDefault="00565A17" w:rsidP="00565A17">
      <w:pPr>
        <w:pStyle w:val="Heading1"/>
      </w:pPr>
      <w:r>
        <w:t>How Artifact Operates Within Drools</w:t>
      </w:r>
    </w:p>
    <w:p w14:paraId="61A1739B" w14:textId="77777777" w:rsidR="00565A17" w:rsidRDefault="00565A17" w:rsidP="00565A17">
      <w:pPr>
        <w:pBdr>
          <w:top w:val="nil"/>
          <w:left w:val="nil"/>
          <w:bottom w:val="nil"/>
          <w:right w:val="nil"/>
          <w:between w:val="nil"/>
        </w:pBdr>
        <w:spacing w:before="0" w:after="0"/>
      </w:pPr>
      <w:r>
        <w:t>A JBoss Drools rule engine (version 6.5.0.Final) uses a custom Java-based controller to load data from an OMOP database. A JDBC driver links the database to the rule engine. From the database, entities for each patients’ relevant diagnoses, drugs, lab measurements, and other risk factors are identified and used in working memory. The rules written use this data to identify patients that satisfy criteria specified for each decision portrayed in the DDI decision tree. The rule engine iterates on a day-by-day basis throughout a specified study period and outputs alerts and relevant factors that occur on a specific day.</w:t>
      </w:r>
    </w:p>
    <w:p w14:paraId="09DCE3EB" w14:textId="77777777" w:rsidR="00565A17" w:rsidRDefault="00565A17" w:rsidP="00565A17">
      <w:pPr>
        <w:pBdr>
          <w:top w:val="nil"/>
          <w:left w:val="nil"/>
          <w:bottom w:val="nil"/>
          <w:right w:val="nil"/>
          <w:between w:val="nil"/>
        </w:pBdr>
        <w:spacing w:before="0" w:after="0"/>
      </w:pPr>
    </w:p>
    <w:p w14:paraId="7A206358" w14:textId="77777777" w:rsidR="00565A17" w:rsidRDefault="00565A17" w:rsidP="00565A17">
      <w:pPr>
        <w:pBdr>
          <w:top w:val="nil"/>
          <w:left w:val="nil"/>
          <w:bottom w:val="nil"/>
          <w:right w:val="nil"/>
          <w:between w:val="nil"/>
        </w:pBdr>
        <w:spacing w:before="0" w:after="0"/>
      </w:pPr>
      <w:r>
        <w:t xml:space="preserve">The Drools rule engine is available as a </w:t>
      </w:r>
      <w:hyperlink r:id="rId41" w:history="1">
        <w:r w:rsidRPr="00701FBA">
          <w:rPr>
            <w:rStyle w:val="Hyperlink"/>
          </w:rPr>
          <w:t>GitHub project</w:t>
        </w:r>
      </w:hyperlink>
      <w:r>
        <w:t xml:space="preserve">. This project includes a </w:t>
      </w:r>
      <w:hyperlink r:id="rId42" w:history="1">
        <w:r w:rsidRPr="00701FBA">
          <w:rPr>
            <w:rStyle w:val="Hyperlink"/>
          </w:rPr>
          <w:t>Docker container</w:t>
        </w:r>
      </w:hyperlink>
      <w:r>
        <w:t xml:space="preserve">  which can be used to virtualize the rule engine so that the audience can customize their own use case by choosing if they want to run one specific rule of interest, or if they have their own OMOP database connection that they wish to input to read data from. </w:t>
      </w:r>
    </w:p>
    <w:p w14:paraId="479010EB" w14:textId="77777777" w:rsidR="00565A17" w:rsidRDefault="00565A17" w:rsidP="00565A17">
      <w:pPr>
        <w:pBdr>
          <w:top w:val="nil"/>
          <w:left w:val="nil"/>
          <w:bottom w:val="nil"/>
          <w:right w:val="nil"/>
          <w:between w:val="nil"/>
        </w:pBdr>
        <w:spacing w:before="0" w:after="0"/>
      </w:pPr>
    </w:p>
    <w:p w14:paraId="7CE5DB36" w14:textId="77777777" w:rsidR="00565A17" w:rsidRDefault="00565A17" w:rsidP="00565A17">
      <w:pPr>
        <w:pBdr>
          <w:top w:val="nil"/>
          <w:left w:val="nil"/>
          <w:bottom w:val="nil"/>
          <w:right w:val="nil"/>
          <w:between w:val="nil"/>
        </w:pBdr>
        <w:spacing w:before="0" w:after="0"/>
      </w:pPr>
      <w:r>
        <w:t xml:space="preserve">After pulling the docker container using the command </w:t>
      </w:r>
      <w:r w:rsidRPr="006E5D38">
        <w:rPr>
          <w:rFonts w:ascii="Monaco" w:hAnsi="Monaco"/>
          <w:sz w:val="20"/>
          <w:szCs w:val="20"/>
        </w:rPr>
        <w:t>docker pull ddicds/idia_rules</w:t>
      </w:r>
      <w:r w:rsidRPr="006E5D38">
        <w:t xml:space="preserve">, The following command can be used to run the docker container over the default </w:t>
      </w:r>
      <w:r>
        <w:t>synthetic population:</w:t>
      </w:r>
    </w:p>
    <w:p w14:paraId="1917B0A3" w14:textId="77777777" w:rsidR="00565A17" w:rsidRDefault="00565A17" w:rsidP="00565A17">
      <w:pPr>
        <w:pBdr>
          <w:top w:val="nil"/>
          <w:left w:val="nil"/>
          <w:bottom w:val="nil"/>
          <w:right w:val="nil"/>
          <w:between w:val="nil"/>
        </w:pBdr>
        <w:spacing w:before="0" w:after="0"/>
      </w:pPr>
    </w:p>
    <w:p w14:paraId="3CE0272B" w14:textId="77777777" w:rsidR="00565A17" w:rsidRPr="006E5D38" w:rsidRDefault="00565A17" w:rsidP="00565A17">
      <w:pPr>
        <w:pBdr>
          <w:top w:val="nil"/>
          <w:left w:val="nil"/>
          <w:bottom w:val="nil"/>
          <w:right w:val="nil"/>
          <w:between w:val="nil"/>
        </w:pBdr>
        <w:spacing w:before="0" w:after="0"/>
        <w:rPr>
          <w:rFonts w:ascii="Monaco" w:hAnsi="Monaco" w:cs="Monaco"/>
          <w:sz w:val="20"/>
          <w:szCs w:val="20"/>
        </w:rPr>
      </w:pPr>
      <w:r w:rsidRPr="006E5D38">
        <w:rPr>
          <w:rFonts w:ascii="Monaco" w:hAnsi="Monaco" w:cs="Monaco"/>
          <w:sz w:val="20"/>
          <w:szCs w:val="20"/>
        </w:rPr>
        <w:t>docker run -v ~/simulated-run/:/app/simulated-run -it --rm ddicds/idia_rules:localdb simulated</w:t>
      </w:r>
    </w:p>
    <w:p w14:paraId="7E4B812C" w14:textId="77777777" w:rsidR="00565A17" w:rsidRDefault="00565A17" w:rsidP="00565A17">
      <w:pPr>
        <w:pBdr>
          <w:top w:val="nil"/>
          <w:left w:val="nil"/>
          <w:bottom w:val="nil"/>
          <w:right w:val="nil"/>
          <w:between w:val="nil"/>
        </w:pBdr>
        <w:spacing w:before="0" w:after="0"/>
        <w:rPr>
          <w:rFonts w:ascii="Monaco" w:hAnsi="Monaco" w:cs="Monaco"/>
          <w:color w:val="2EAEBB"/>
          <w:sz w:val="20"/>
          <w:szCs w:val="20"/>
        </w:rPr>
      </w:pPr>
    </w:p>
    <w:p w14:paraId="31A76C0C" w14:textId="77777777" w:rsidR="00565A17" w:rsidRDefault="00565A17" w:rsidP="00565A17">
      <w:pPr>
        <w:pBdr>
          <w:top w:val="nil"/>
          <w:left w:val="nil"/>
          <w:bottom w:val="nil"/>
          <w:right w:val="nil"/>
          <w:between w:val="nil"/>
        </w:pBdr>
        <w:spacing w:before="0" w:after="0"/>
      </w:pPr>
      <w:r>
        <w:t>To run the rules over a custom database connection and/or specify a particular rule  to isolate in the run, the following additional arguments can be added to the above command:</w:t>
      </w:r>
    </w:p>
    <w:p w14:paraId="7EE8D3F5" w14:textId="77777777" w:rsidR="00565A17" w:rsidRDefault="00565A17" w:rsidP="00565A17">
      <w:pPr>
        <w:pBdr>
          <w:top w:val="nil"/>
          <w:left w:val="nil"/>
          <w:bottom w:val="nil"/>
          <w:right w:val="nil"/>
          <w:between w:val="nil"/>
        </w:pBdr>
        <w:spacing w:before="0" w:after="0"/>
      </w:pPr>
    </w:p>
    <w:p w14:paraId="451868C5" w14:textId="77777777" w:rsidR="00565A17" w:rsidRDefault="00565A17" w:rsidP="00565A17">
      <w:pPr>
        <w:pBdr>
          <w:top w:val="nil"/>
          <w:left w:val="nil"/>
          <w:bottom w:val="nil"/>
          <w:right w:val="nil"/>
          <w:between w:val="nil"/>
        </w:pBdr>
        <w:spacing w:before="0" w:after="0"/>
        <w:rPr>
          <w:rFonts w:ascii="Monaco" w:hAnsi="Monaco" w:cs="Monaco"/>
          <w:sz w:val="20"/>
          <w:szCs w:val="20"/>
        </w:rPr>
      </w:pPr>
      <w:r w:rsidRPr="00F00B3C">
        <w:rPr>
          <w:rFonts w:ascii="Monaco" w:hAnsi="Monaco" w:cs="Monaco"/>
          <w:sz w:val="20"/>
          <w:szCs w:val="20"/>
        </w:rPr>
        <w:t>connectionURL=</w:t>
      </w:r>
      <w:r>
        <w:rPr>
          <w:rFonts w:ascii="Monaco" w:hAnsi="Monaco" w:cs="Monaco"/>
          <w:sz w:val="20"/>
          <w:szCs w:val="20"/>
        </w:rPr>
        <w:t>{URL}</w:t>
      </w:r>
      <w:r w:rsidRPr="00F00B3C">
        <w:rPr>
          <w:rFonts w:ascii="Monaco" w:hAnsi="Monaco" w:cs="Monaco"/>
          <w:sz w:val="20"/>
          <w:szCs w:val="20"/>
        </w:rPr>
        <w:t xml:space="preserve"> ruleFolder=</w:t>
      </w:r>
      <w:r>
        <w:rPr>
          <w:rFonts w:ascii="Monaco" w:hAnsi="Monaco" w:cs="Monaco"/>
          <w:sz w:val="20"/>
          <w:szCs w:val="20"/>
        </w:rPr>
        <w:t>{</w:t>
      </w:r>
      <w:r w:rsidRPr="00F02C00">
        <w:rPr>
          <w:rFonts w:ascii="Monaco" w:hAnsi="Monaco" w:cs="Monaco"/>
          <w:sz w:val="20"/>
          <w:szCs w:val="20"/>
        </w:rPr>
        <w:t>rule options listed below</w:t>
      </w:r>
      <w:r>
        <w:rPr>
          <w:rFonts w:ascii="Monaco" w:hAnsi="Monaco" w:cs="Monaco"/>
          <w:sz w:val="20"/>
          <w:szCs w:val="20"/>
        </w:rPr>
        <w:t>}</w:t>
      </w:r>
      <w:r w:rsidRPr="00F00B3C">
        <w:rPr>
          <w:rFonts w:ascii="Monaco" w:hAnsi="Monaco" w:cs="Monaco"/>
          <w:sz w:val="20"/>
          <w:szCs w:val="20"/>
        </w:rPr>
        <w:t xml:space="preserve"> schema=</w:t>
      </w:r>
      <w:r>
        <w:rPr>
          <w:rFonts w:ascii="Monaco" w:hAnsi="Monaco" w:cs="Monaco"/>
          <w:sz w:val="20"/>
          <w:szCs w:val="20"/>
        </w:rPr>
        <w:t>{schema}</w:t>
      </w:r>
      <w:r w:rsidRPr="00F00B3C">
        <w:rPr>
          <w:rFonts w:ascii="Monaco" w:hAnsi="Monaco" w:cs="Monaco"/>
          <w:sz w:val="20"/>
          <w:szCs w:val="20"/>
        </w:rPr>
        <w:t xml:space="preserve"> user=</w:t>
      </w:r>
      <w:r>
        <w:rPr>
          <w:rFonts w:ascii="Monaco" w:hAnsi="Monaco" w:cs="Monaco"/>
          <w:sz w:val="20"/>
          <w:szCs w:val="20"/>
        </w:rPr>
        <w:t>{user}</w:t>
      </w:r>
      <w:r w:rsidRPr="00F00B3C">
        <w:rPr>
          <w:rFonts w:ascii="Monaco" w:hAnsi="Monaco" w:cs="Monaco"/>
          <w:sz w:val="20"/>
          <w:szCs w:val="20"/>
        </w:rPr>
        <w:t xml:space="preserve"> password=</w:t>
      </w:r>
      <w:r>
        <w:rPr>
          <w:rFonts w:ascii="Monaco" w:hAnsi="Monaco" w:cs="Monaco"/>
          <w:sz w:val="20"/>
          <w:szCs w:val="20"/>
        </w:rPr>
        <w:t>{password}</w:t>
      </w:r>
      <w:r w:rsidRPr="00F00B3C">
        <w:rPr>
          <w:rFonts w:ascii="Monaco" w:hAnsi="Monaco" w:cs="Monaco"/>
          <w:sz w:val="20"/>
          <w:szCs w:val="20"/>
        </w:rPr>
        <w:t xml:space="preserve"> sslmode=require</w:t>
      </w:r>
      <w:r>
        <w:rPr>
          <w:rFonts w:ascii="Monaco" w:hAnsi="Monaco" w:cs="Monaco"/>
          <w:sz w:val="20"/>
          <w:szCs w:val="20"/>
        </w:rPr>
        <w:t xml:space="preserve"> </w:t>
      </w:r>
    </w:p>
    <w:p w14:paraId="547836B1" w14:textId="77777777" w:rsidR="00565A17" w:rsidRDefault="00565A17" w:rsidP="00565A17">
      <w:pPr>
        <w:pBdr>
          <w:top w:val="nil"/>
          <w:left w:val="nil"/>
          <w:bottom w:val="nil"/>
          <w:right w:val="nil"/>
          <w:between w:val="nil"/>
        </w:pBdr>
        <w:spacing w:before="0" w:after="0"/>
        <w:rPr>
          <w:rFonts w:ascii="Monaco" w:hAnsi="Monaco" w:cs="Monaco"/>
          <w:sz w:val="20"/>
          <w:szCs w:val="20"/>
        </w:rPr>
      </w:pPr>
    </w:p>
    <w:p w14:paraId="22D6F813" w14:textId="77777777" w:rsidR="00565A17" w:rsidRDefault="00565A17" w:rsidP="00565A17">
      <w:pPr>
        <w:pBdr>
          <w:top w:val="nil"/>
          <w:left w:val="nil"/>
          <w:bottom w:val="nil"/>
          <w:right w:val="nil"/>
          <w:between w:val="nil"/>
        </w:pBdr>
        <w:spacing w:before="0" w:after="0"/>
      </w:pPr>
      <w:r>
        <w:t>The sslmode argument is optional and its presence is dependent on the specific configuration of the database that the user wishes to connect to.</w:t>
      </w:r>
    </w:p>
    <w:p w14:paraId="2BF7A73A" w14:textId="77777777" w:rsidR="00565A17" w:rsidRDefault="00565A17" w:rsidP="00565A17">
      <w:pPr>
        <w:pBdr>
          <w:top w:val="nil"/>
          <w:left w:val="nil"/>
          <w:bottom w:val="nil"/>
          <w:right w:val="nil"/>
          <w:between w:val="nil"/>
        </w:pBdr>
        <w:spacing w:before="0" w:after="0"/>
      </w:pPr>
    </w:p>
    <w:p w14:paraId="56D729FF" w14:textId="77777777" w:rsidR="00565A17" w:rsidRDefault="00565A17" w:rsidP="00565A17">
      <w:pPr>
        <w:pBdr>
          <w:top w:val="nil"/>
          <w:left w:val="nil"/>
          <w:bottom w:val="nil"/>
          <w:right w:val="nil"/>
          <w:between w:val="nil"/>
        </w:pBdr>
        <w:spacing w:before="0" w:after="0"/>
      </w:pPr>
      <w:r>
        <w:t>By default, all rules are run, but to specify individual rules, strings that can be passed into the ruleFolder argument include:</w:t>
      </w:r>
    </w:p>
    <w:p w14:paraId="1772F1E2" w14:textId="77777777" w:rsidR="00565A17" w:rsidRPr="00F02C00" w:rsidRDefault="00565A17" w:rsidP="00565A17">
      <w:pPr>
        <w:numPr>
          <w:ilvl w:val="0"/>
          <w:numId w:val="8"/>
        </w:numPr>
        <w:spacing w:before="100" w:beforeAutospacing="1" w:after="100" w:afterAutospacing="1"/>
      </w:pPr>
      <w:r w:rsidRPr="00F02C00">
        <w:t>rules_acei_arb_ksparing_diuretics</w:t>
      </w:r>
    </w:p>
    <w:p w14:paraId="2FB62133" w14:textId="77777777" w:rsidR="00565A17" w:rsidRPr="00F02C00" w:rsidRDefault="00565A17" w:rsidP="00565A17">
      <w:pPr>
        <w:numPr>
          <w:ilvl w:val="0"/>
          <w:numId w:val="8"/>
        </w:numPr>
        <w:spacing w:before="100" w:beforeAutospacing="1" w:after="100" w:afterAutospacing="1"/>
      </w:pPr>
      <w:r w:rsidRPr="00F02C00">
        <w:t>rules_ceftriaxone_calcium</w:t>
      </w:r>
    </w:p>
    <w:p w14:paraId="792480E8" w14:textId="77777777" w:rsidR="00565A17" w:rsidRPr="00F02C00" w:rsidRDefault="00565A17" w:rsidP="00565A17">
      <w:pPr>
        <w:numPr>
          <w:ilvl w:val="0"/>
          <w:numId w:val="8"/>
        </w:numPr>
        <w:spacing w:before="100" w:beforeAutospacing="1" w:after="100" w:afterAutospacing="1"/>
      </w:pPr>
      <w:r w:rsidRPr="00F02C00">
        <w:lastRenderedPageBreak/>
        <w:t>rules_citalopram_QT_agents</w:t>
      </w:r>
    </w:p>
    <w:p w14:paraId="08724D41" w14:textId="77777777" w:rsidR="00565A17" w:rsidRPr="00F02C00" w:rsidRDefault="00565A17" w:rsidP="00565A17">
      <w:pPr>
        <w:numPr>
          <w:ilvl w:val="0"/>
          <w:numId w:val="8"/>
        </w:numPr>
        <w:spacing w:before="100" w:beforeAutospacing="1" w:after="100" w:afterAutospacing="1"/>
      </w:pPr>
      <w:r w:rsidRPr="00F02C00">
        <w:t>rules_clonidine_betablockers</w:t>
      </w:r>
    </w:p>
    <w:p w14:paraId="240A6B97" w14:textId="77777777" w:rsidR="00565A17" w:rsidRPr="00F02C00" w:rsidRDefault="00565A17" w:rsidP="00565A17">
      <w:pPr>
        <w:numPr>
          <w:ilvl w:val="0"/>
          <w:numId w:val="8"/>
        </w:numPr>
        <w:spacing w:before="100" w:beforeAutospacing="1" w:after="100" w:afterAutospacing="1"/>
      </w:pPr>
      <w:r w:rsidRPr="00F02C00">
        <w:t>rules_epi_betablockers</w:t>
      </w:r>
    </w:p>
    <w:p w14:paraId="3ECE4371" w14:textId="77777777" w:rsidR="00565A17" w:rsidRPr="00F02C00" w:rsidRDefault="00565A17" w:rsidP="00565A17">
      <w:pPr>
        <w:numPr>
          <w:ilvl w:val="0"/>
          <w:numId w:val="8"/>
        </w:numPr>
        <w:spacing w:before="100" w:beforeAutospacing="1" w:after="100" w:afterAutospacing="1"/>
      </w:pPr>
      <w:r w:rsidRPr="00F02C00">
        <w:t>rules_fluconazole_opioids</w:t>
      </w:r>
    </w:p>
    <w:p w14:paraId="09FE19C0" w14:textId="77777777" w:rsidR="00565A17" w:rsidRPr="00F02C00" w:rsidRDefault="00565A17" w:rsidP="00565A17">
      <w:pPr>
        <w:numPr>
          <w:ilvl w:val="0"/>
          <w:numId w:val="8"/>
        </w:numPr>
        <w:spacing w:before="100" w:beforeAutospacing="1" w:after="100" w:afterAutospacing="1"/>
      </w:pPr>
      <w:r w:rsidRPr="00F02C00">
        <w:t>rules_immunosuppressants_fluconazole</w:t>
      </w:r>
    </w:p>
    <w:p w14:paraId="742E8A1A" w14:textId="77777777" w:rsidR="00565A17" w:rsidRPr="00F02C00" w:rsidRDefault="00565A17" w:rsidP="00565A17">
      <w:pPr>
        <w:numPr>
          <w:ilvl w:val="0"/>
          <w:numId w:val="8"/>
        </w:numPr>
        <w:spacing w:before="100" w:beforeAutospacing="1" w:after="100" w:afterAutospacing="1"/>
      </w:pPr>
      <w:r w:rsidRPr="00F02C00">
        <w:t>rules_k_ksparing_diuretics</w:t>
      </w:r>
    </w:p>
    <w:p w14:paraId="3874FFDB" w14:textId="77777777" w:rsidR="00565A17" w:rsidRPr="00F02C00" w:rsidRDefault="00565A17" w:rsidP="00565A17">
      <w:pPr>
        <w:numPr>
          <w:ilvl w:val="0"/>
          <w:numId w:val="8"/>
        </w:numPr>
        <w:spacing w:before="100" w:beforeAutospacing="1" w:after="100" w:afterAutospacing="1"/>
      </w:pPr>
      <w:r w:rsidRPr="00F02C00">
        <w:t>rules_warfarin_antidepressants</w:t>
      </w:r>
    </w:p>
    <w:p w14:paraId="7B884A7F" w14:textId="77777777" w:rsidR="00565A17" w:rsidRPr="00F02C00" w:rsidRDefault="00565A17" w:rsidP="00565A17">
      <w:pPr>
        <w:numPr>
          <w:ilvl w:val="0"/>
          <w:numId w:val="8"/>
        </w:numPr>
        <w:spacing w:before="100" w:beforeAutospacing="1" w:after="100" w:afterAutospacing="1"/>
      </w:pPr>
      <w:r w:rsidRPr="00F02C00">
        <w:t>rules_warfarin_nsaids</w:t>
      </w:r>
    </w:p>
    <w:p w14:paraId="02F8F33C" w14:textId="66FB46EB" w:rsidR="004F516E" w:rsidRDefault="00565A17" w:rsidP="004F516E">
      <w:pPr>
        <w:numPr>
          <w:ilvl w:val="0"/>
          <w:numId w:val="8"/>
        </w:numPr>
        <w:spacing w:before="100" w:beforeAutospacing="1" w:after="100" w:afterAutospacing="1"/>
      </w:pPr>
      <w:r w:rsidRPr="00F02C00">
        <w:t>rules_warfarin_salicylates</w:t>
      </w:r>
    </w:p>
    <w:p w14:paraId="239807DC" w14:textId="5334E74E" w:rsidR="004F516E" w:rsidRDefault="004F516E" w:rsidP="004F516E">
      <w:pPr>
        <w:pStyle w:val="Heading1"/>
      </w:pPr>
      <w:r>
        <w:t>Running the Rule in the CQL Testing Framework</w:t>
      </w:r>
    </w:p>
    <w:p w14:paraId="74E5EFF6" w14:textId="5B5ABB56" w:rsidR="00772A19" w:rsidRDefault="00E17E24" w:rsidP="00E17E24">
      <w:r>
        <w:t xml:space="preserve">The CQL project, its dependencies, and YAML test cases for all of the rule’s leaf nodes are available in </w:t>
      </w:r>
      <w:r w:rsidR="006C62E9">
        <w:t xml:space="preserve">a </w:t>
      </w:r>
      <w:hyperlink r:id="rId43" w:history="1">
        <w:r w:rsidR="006C62E9" w:rsidRPr="006C62E9">
          <w:rPr>
            <w:rStyle w:val="Hyperlink"/>
          </w:rPr>
          <w:t>ZIP format</w:t>
        </w:r>
      </w:hyperlink>
      <w:r w:rsidR="006C62E9">
        <w:t xml:space="preserve"> that should include a folder with all required components for the rule</w:t>
      </w:r>
      <w:r>
        <w:t>. This folder alone should be sufficient to run the rule over the included YAML test cases</w:t>
      </w:r>
      <w:r w:rsidR="00772A19">
        <w:t xml:space="preserve"> that can be found in the “test</w:t>
      </w:r>
      <w:r w:rsidR="00B01343">
        <w:t>s</w:t>
      </w:r>
      <w:r w:rsidR="00772A19">
        <w:t>” subdirectory</w:t>
      </w:r>
      <w:r>
        <w:t>. Within this folder, the “cql” subdirectory should include the rule-specific CQL script alongside its JSON translation, as well as additional pairs of such files that serve as dependencies for the rule-specific CQL.</w:t>
      </w:r>
    </w:p>
    <w:p w14:paraId="33E577B5" w14:textId="7B4EBF7A" w:rsidR="00D26E06" w:rsidRDefault="00D26E06" w:rsidP="00E17E24">
      <w:r>
        <w:t>A “.vscache” folder should be included in the ZIP file so that the necessary value set definitions can be used without requiring the user to set UMLS VSAC credentials. The</w:t>
      </w:r>
      <w:r w:rsidR="000F4D7F">
        <w:t xml:space="preserve"> </w:t>
      </w:r>
      <w:r>
        <w:t xml:space="preserve">script library in </w:t>
      </w:r>
      <w:r w:rsidR="000F4D7F">
        <w:t xml:space="preserve">the “node_modules” folder </w:t>
      </w:r>
      <w:r>
        <w:t>is</w:t>
      </w:r>
      <w:r w:rsidR="000F4D7F">
        <w:t xml:space="preserve"> managed by Node.js and the Node Package Manager (NPM).</w:t>
      </w:r>
      <w:r>
        <w:t xml:space="preserve"> With these dependencies included, to run the CQL rule, the user should be able to simply run “npm test” in the command line from the base directory of the unzipped folder.</w:t>
      </w:r>
    </w:p>
    <w:p w14:paraId="5A2E41EF" w14:textId="77777777" w:rsidR="00D26E06" w:rsidRDefault="00D26E06" w:rsidP="00E17E24">
      <w:r>
        <w:t>By default, the included YAML test cases should all yield successful tests, and the output of the “npm test” command should indicate the number of passing tests</w:t>
      </w:r>
      <w:r w:rsidR="00BC5DD4">
        <w:t>.</w:t>
      </w:r>
    </w:p>
    <w:p w14:paraId="18FBFD45" w14:textId="7F65253F" w:rsidR="00BC5DD4" w:rsidRDefault="00BC5DD4" w:rsidP="00E17E24">
      <w:pPr>
        <w:sectPr w:rsidR="00BC5DD4">
          <w:headerReference w:type="default" r:id="rId44"/>
          <w:footerReference w:type="default" r:id="rId45"/>
          <w:headerReference w:type="first" r:id="rId46"/>
          <w:footerReference w:type="first" r:id="rId47"/>
          <w:pgSz w:w="12240" w:h="15840"/>
          <w:pgMar w:top="1440" w:right="1440" w:bottom="1440" w:left="1440" w:header="504" w:footer="504" w:gutter="0"/>
          <w:cols w:space="720" w:equalWidth="0">
            <w:col w:w="9360"/>
          </w:cols>
          <w:titlePg/>
        </w:sectPr>
      </w:pPr>
      <w:r>
        <w:t xml:space="preserve">The </w:t>
      </w:r>
      <w:hyperlink r:id="rId48" w:history="1">
        <w:r w:rsidRPr="00BC5DD4">
          <w:rPr>
            <w:rStyle w:val="Hyperlink"/>
          </w:rPr>
          <w:t>README</w:t>
        </w:r>
      </w:hyperlink>
      <w:r>
        <w:t xml:space="preserve"> for the overall CQL Testing Framework project provides additional details about developing and using this system. For information about writing YAML test cases to further explore how the CQL script can handle other scenarios outside of the included test cases, this </w:t>
      </w:r>
      <w:hyperlink r:id="rId49" w:history="1">
        <w:r w:rsidRPr="00BC5DD4">
          <w:rPr>
            <w:rStyle w:val="Hyperlink"/>
          </w:rPr>
          <w:t>README</w:t>
        </w:r>
      </w:hyperlink>
      <w:r>
        <w:t xml:space="preserve"> should describe how to create YAML files.</w:t>
      </w:r>
    </w:p>
    <w:p w14:paraId="163011F7" w14:textId="77777777" w:rsidR="00004AE3" w:rsidRDefault="00AA75A6">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bookmarkStart w:id="25" w:name="_heading=h.2xcytpi" w:colFirst="0" w:colLast="0"/>
      <w:bookmarkEnd w:id="25"/>
      <w:r>
        <w:rPr>
          <w:rFonts w:ascii="Arial" w:eastAsia="Arial" w:hAnsi="Arial" w:cs="Arial"/>
          <w:b/>
          <w:color w:val="000000"/>
          <w:sz w:val="32"/>
          <w:szCs w:val="32"/>
        </w:rPr>
        <w:lastRenderedPageBreak/>
        <w:t>Appendix A: Test Data</w:t>
      </w:r>
    </w:p>
    <w:p w14:paraId="4D2DF8A9" w14:textId="77777777" w:rsidR="00004AE3" w:rsidRDefault="00AA75A6">
      <w:bookmarkStart w:id="26" w:name="_heading=h.1ci93xb" w:colFirst="0" w:colLast="0"/>
      <w:bookmarkEnd w:id="26"/>
      <w:r>
        <w:t>In conjunction with a custom Node.js testing framework, the following data tables were used to test the artifact:</w:t>
      </w:r>
    </w:p>
    <w:p w14:paraId="689F36B7" w14:textId="55B45E6B" w:rsidR="00004AE3" w:rsidRDefault="00A21851" w:rsidP="00A21851">
      <w:pPr>
        <w:keepNext/>
        <w:pBdr>
          <w:top w:val="nil"/>
          <w:left w:val="nil"/>
          <w:bottom w:val="nil"/>
          <w:right w:val="nil"/>
          <w:between w:val="nil"/>
        </w:pBdr>
        <w:rPr>
          <w:rFonts w:ascii="Arial" w:eastAsia="Arial" w:hAnsi="Arial" w:cs="Arial"/>
          <w:b/>
          <w:color w:val="000000"/>
          <w:sz w:val="20"/>
          <w:szCs w:val="20"/>
        </w:rPr>
      </w:pPr>
      <w:bookmarkStart w:id="27" w:name="_heading=h.3whwml4" w:colFirst="0" w:colLast="0"/>
      <w:bookmarkEnd w:id="27"/>
      <w:r>
        <w:rPr>
          <w:rFonts w:ascii="Arial" w:eastAsia="Arial" w:hAnsi="Arial" w:cs="Arial"/>
          <w:b/>
          <w:color w:val="000000"/>
          <w:sz w:val="20"/>
          <w:szCs w:val="20"/>
        </w:rPr>
        <w:lastRenderedPageBreak/>
        <w:t>Table 2: Class 4 (Green) Alert Basic Tests</w:t>
      </w:r>
    </w:p>
    <w:tbl>
      <w:tblPr>
        <w:tblStyle w:val="TableGrid"/>
        <w:tblW w:w="13498" w:type="dxa"/>
        <w:tblLook w:val="04A0" w:firstRow="1" w:lastRow="0" w:firstColumn="1" w:lastColumn="0" w:noHBand="0" w:noVBand="1"/>
      </w:tblPr>
      <w:tblGrid>
        <w:gridCol w:w="1321"/>
        <w:gridCol w:w="706"/>
        <w:gridCol w:w="1560"/>
        <w:gridCol w:w="1236"/>
        <w:gridCol w:w="1987"/>
        <w:gridCol w:w="2252"/>
        <w:gridCol w:w="2252"/>
        <w:gridCol w:w="2184"/>
      </w:tblGrid>
      <w:tr w:rsidR="0046608C" w14:paraId="74546034" w14:textId="77777777" w:rsidTr="00657CA8">
        <w:trPr>
          <w:trHeight w:val="522"/>
        </w:trPr>
        <w:tc>
          <w:tcPr>
            <w:tcW w:w="1321" w:type="dxa"/>
          </w:tcPr>
          <w:p w14:paraId="52B7A55B"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Patient ID</w:t>
            </w:r>
          </w:p>
        </w:tc>
        <w:tc>
          <w:tcPr>
            <w:tcW w:w="706" w:type="dxa"/>
          </w:tcPr>
          <w:p w14:paraId="6A4F8652"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Age</w:t>
            </w:r>
          </w:p>
        </w:tc>
        <w:tc>
          <w:tcPr>
            <w:tcW w:w="1560" w:type="dxa"/>
          </w:tcPr>
          <w:p w14:paraId="07E0F812"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Rule Branch</w:t>
            </w:r>
          </w:p>
        </w:tc>
        <w:tc>
          <w:tcPr>
            <w:tcW w:w="1236" w:type="dxa"/>
          </w:tcPr>
          <w:p w14:paraId="5C997CD1"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Warfarin</w:t>
            </w:r>
          </w:p>
        </w:tc>
        <w:tc>
          <w:tcPr>
            <w:tcW w:w="1987" w:type="dxa"/>
          </w:tcPr>
          <w:p w14:paraId="07563333"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Antidepressant</w:t>
            </w:r>
          </w:p>
        </w:tc>
        <w:tc>
          <w:tcPr>
            <w:tcW w:w="2252" w:type="dxa"/>
          </w:tcPr>
          <w:p w14:paraId="10F6D3C4"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Bleeding Risk Factor</w:t>
            </w:r>
          </w:p>
        </w:tc>
        <w:tc>
          <w:tcPr>
            <w:tcW w:w="2252" w:type="dxa"/>
          </w:tcPr>
          <w:p w14:paraId="6826CE6F"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RESULT: Recommendation</w:t>
            </w:r>
          </w:p>
        </w:tc>
        <w:tc>
          <w:tcPr>
            <w:tcW w:w="2184" w:type="dxa"/>
          </w:tcPr>
          <w:p w14:paraId="33CA5610"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RESULT: Rationale</w:t>
            </w:r>
          </w:p>
        </w:tc>
      </w:tr>
      <w:tr w:rsidR="00657CA8" w:rsidRPr="00657CA8" w14:paraId="009A7384" w14:textId="77777777" w:rsidTr="00657CA8">
        <w:trPr>
          <w:trHeight w:val="1045"/>
        </w:trPr>
        <w:tc>
          <w:tcPr>
            <w:tcW w:w="1321" w:type="dxa"/>
          </w:tcPr>
          <w:p w14:paraId="788B33C7" w14:textId="2A759971"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1573</w:t>
            </w:r>
          </w:p>
        </w:tc>
        <w:tc>
          <w:tcPr>
            <w:tcW w:w="706" w:type="dxa"/>
          </w:tcPr>
          <w:p w14:paraId="0F4E486A" w14:textId="58520150"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4</w:t>
            </w:r>
            <w:r>
              <w:rPr>
                <w:rFonts w:ascii="Arial" w:eastAsia="Arial" w:hAnsi="Arial" w:cs="Arial"/>
                <w:bCs/>
                <w:color w:val="000000"/>
                <w:sz w:val="20"/>
                <w:szCs w:val="20"/>
              </w:rPr>
              <w:t>8</w:t>
            </w:r>
          </w:p>
        </w:tc>
        <w:tc>
          <w:tcPr>
            <w:tcW w:w="1560" w:type="dxa"/>
          </w:tcPr>
          <w:p w14:paraId="493CCC5F" w14:textId="171D0FD7"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Warfarin / Tricyclic or Bupropion</w:t>
            </w:r>
          </w:p>
        </w:tc>
        <w:tc>
          <w:tcPr>
            <w:tcW w:w="1236" w:type="dxa"/>
          </w:tcPr>
          <w:p w14:paraId="3C792564" w14:textId="19C1E0A9"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Warfarin Sodium 10 MG Oral Tablet</w:t>
            </w:r>
          </w:p>
        </w:tc>
        <w:tc>
          <w:tcPr>
            <w:tcW w:w="1987" w:type="dxa"/>
          </w:tcPr>
          <w:p w14:paraId="0E9C2EBE" w14:textId="25895C14"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Bupropion 50 MG Extended Release Tablet</w:t>
            </w:r>
          </w:p>
        </w:tc>
        <w:tc>
          <w:tcPr>
            <w:tcW w:w="2252" w:type="dxa"/>
          </w:tcPr>
          <w:p w14:paraId="18B9F875" w14:textId="523E610F"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N/A</w:t>
            </w:r>
          </w:p>
        </w:tc>
        <w:tc>
          <w:tcPr>
            <w:tcW w:w="2252" w:type="dxa"/>
          </w:tcPr>
          <w:p w14:paraId="317D5448" w14:textId="0EEE754D"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No special precautions</w:t>
            </w:r>
          </w:p>
        </w:tc>
        <w:tc>
          <w:tcPr>
            <w:tcW w:w="2184" w:type="dxa"/>
          </w:tcPr>
          <w:p w14:paraId="30171557" w14:textId="2ED39EB6"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Increased bleeding risk unlikely</w:t>
            </w:r>
          </w:p>
        </w:tc>
      </w:tr>
    </w:tbl>
    <w:p w14:paraId="0397032B" w14:textId="5361495C" w:rsidR="00A21851" w:rsidRPr="00657CA8" w:rsidRDefault="00A21851" w:rsidP="00A21851">
      <w:pPr>
        <w:keepNext/>
        <w:pBdr>
          <w:top w:val="nil"/>
          <w:left w:val="nil"/>
          <w:bottom w:val="nil"/>
          <w:right w:val="nil"/>
          <w:between w:val="nil"/>
        </w:pBdr>
        <w:rPr>
          <w:rFonts w:ascii="Arial" w:eastAsia="Arial" w:hAnsi="Arial" w:cs="Arial"/>
          <w:b/>
          <w:color w:val="000000"/>
          <w:sz w:val="20"/>
          <w:szCs w:val="20"/>
        </w:rPr>
      </w:pPr>
    </w:p>
    <w:p w14:paraId="28E16827" w14:textId="03E9362E" w:rsidR="00A21851" w:rsidRDefault="00A21851" w:rsidP="00A21851">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Table 3: Class 2/3 (Yellow) Alert Basic Tests</w:t>
      </w:r>
    </w:p>
    <w:tbl>
      <w:tblPr>
        <w:tblStyle w:val="TableGrid"/>
        <w:tblW w:w="13498" w:type="dxa"/>
        <w:tblLook w:val="04A0" w:firstRow="1" w:lastRow="0" w:firstColumn="1" w:lastColumn="0" w:noHBand="0" w:noVBand="1"/>
      </w:tblPr>
      <w:tblGrid>
        <w:gridCol w:w="1321"/>
        <w:gridCol w:w="706"/>
        <w:gridCol w:w="1560"/>
        <w:gridCol w:w="1236"/>
        <w:gridCol w:w="1987"/>
        <w:gridCol w:w="2252"/>
        <w:gridCol w:w="2252"/>
        <w:gridCol w:w="2184"/>
      </w:tblGrid>
      <w:tr w:rsidR="0046608C" w14:paraId="4E1D44E9" w14:textId="77777777" w:rsidTr="00657CA8">
        <w:trPr>
          <w:trHeight w:val="635"/>
        </w:trPr>
        <w:tc>
          <w:tcPr>
            <w:tcW w:w="1321" w:type="dxa"/>
          </w:tcPr>
          <w:p w14:paraId="06A7ADA8"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Patient ID</w:t>
            </w:r>
          </w:p>
        </w:tc>
        <w:tc>
          <w:tcPr>
            <w:tcW w:w="706" w:type="dxa"/>
          </w:tcPr>
          <w:p w14:paraId="69BDAEF1"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Age</w:t>
            </w:r>
          </w:p>
        </w:tc>
        <w:tc>
          <w:tcPr>
            <w:tcW w:w="1560" w:type="dxa"/>
          </w:tcPr>
          <w:p w14:paraId="2CED3423"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Rule Branch</w:t>
            </w:r>
          </w:p>
        </w:tc>
        <w:tc>
          <w:tcPr>
            <w:tcW w:w="1236" w:type="dxa"/>
          </w:tcPr>
          <w:p w14:paraId="22F5DB5D"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Warfarin</w:t>
            </w:r>
          </w:p>
        </w:tc>
        <w:tc>
          <w:tcPr>
            <w:tcW w:w="1987" w:type="dxa"/>
          </w:tcPr>
          <w:p w14:paraId="4CED3E8C"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Antidepressant</w:t>
            </w:r>
          </w:p>
        </w:tc>
        <w:tc>
          <w:tcPr>
            <w:tcW w:w="2252" w:type="dxa"/>
          </w:tcPr>
          <w:p w14:paraId="448570CD"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Bleeding Risk Factor</w:t>
            </w:r>
          </w:p>
        </w:tc>
        <w:tc>
          <w:tcPr>
            <w:tcW w:w="2252" w:type="dxa"/>
          </w:tcPr>
          <w:p w14:paraId="4E45508C"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RESULT: Recommendation</w:t>
            </w:r>
          </w:p>
        </w:tc>
        <w:tc>
          <w:tcPr>
            <w:tcW w:w="2184" w:type="dxa"/>
          </w:tcPr>
          <w:p w14:paraId="542FF029" w14:textId="77777777" w:rsidR="0046608C" w:rsidRDefault="0046608C" w:rsidP="00657CA8">
            <w:pPr>
              <w:keepNext/>
              <w:rPr>
                <w:rFonts w:ascii="Arial" w:eastAsia="Arial" w:hAnsi="Arial" w:cs="Arial"/>
                <w:b/>
                <w:color w:val="000000"/>
                <w:sz w:val="20"/>
                <w:szCs w:val="20"/>
              </w:rPr>
            </w:pPr>
            <w:r>
              <w:rPr>
                <w:rFonts w:ascii="Arial" w:eastAsia="Arial" w:hAnsi="Arial" w:cs="Arial"/>
                <w:b/>
                <w:color w:val="000000"/>
                <w:sz w:val="20"/>
                <w:szCs w:val="20"/>
              </w:rPr>
              <w:t>RESULT: Rationale</w:t>
            </w:r>
          </w:p>
        </w:tc>
      </w:tr>
      <w:tr w:rsidR="00657CA8" w14:paraId="63154BD0" w14:textId="77777777" w:rsidTr="00657CA8">
        <w:trPr>
          <w:trHeight w:val="1271"/>
        </w:trPr>
        <w:tc>
          <w:tcPr>
            <w:tcW w:w="1321" w:type="dxa"/>
          </w:tcPr>
          <w:p w14:paraId="72C25C5A" w14:textId="3A02EF0E"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1572</w:t>
            </w:r>
          </w:p>
        </w:tc>
        <w:tc>
          <w:tcPr>
            <w:tcW w:w="706" w:type="dxa"/>
          </w:tcPr>
          <w:p w14:paraId="255DEA9F" w14:textId="2B993152"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38</w:t>
            </w:r>
          </w:p>
        </w:tc>
        <w:tc>
          <w:tcPr>
            <w:tcW w:w="1560" w:type="dxa"/>
          </w:tcPr>
          <w:p w14:paraId="1EFEAE67" w14:textId="66176A98"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Warfarin / Mirtazapine</w:t>
            </w:r>
          </w:p>
        </w:tc>
        <w:tc>
          <w:tcPr>
            <w:tcW w:w="1236" w:type="dxa"/>
          </w:tcPr>
          <w:p w14:paraId="2B757AB0" w14:textId="0A6575AC"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Warfarin Sodium 10 MG Oral Tablet</w:t>
            </w:r>
          </w:p>
        </w:tc>
        <w:tc>
          <w:tcPr>
            <w:tcW w:w="1987" w:type="dxa"/>
          </w:tcPr>
          <w:p w14:paraId="54F08089" w14:textId="322F840E"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Mirtazapine 45 MG Disintegrating Oral Tablet</w:t>
            </w:r>
          </w:p>
        </w:tc>
        <w:tc>
          <w:tcPr>
            <w:tcW w:w="2252" w:type="dxa"/>
          </w:tcPr>
          <w:p w14:paraId="297FF65E" w14:textId="52CBEE7D"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N/A</w:t>
            </w:r>
          </w:p>
        </w:tc>
        <w:tc>
          <w:tcPr>
            <w:tcW w:w="2252" w:type="dxa"/>
          </w:tcPr>
          <w:p w14:paraId="2D1B2B86" w14:textId="25FA73F5"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Assess risk and take action if necessary</w:t>
            </w:r>
          </w:p>
        </w:tc>
        <w:tc>
          <w:tcPr>
            <w:tcW w:w="2184" w:type="dxa"/>
          </w:tcPr>
          <w:p w14:paraId="06617013" w14:textId="0FB09974"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Increased GI and non-GI bleeding risk is possible</w:t>
            </w:r>
          </w:p>
        </w:tc>
      </w:tr>
      <w:tr w:rsidR="00657CA8" w14:paraId="62B1A706" w14:textId="77777777" w:rsidTr="00657CA8">
        <w:trPr>
          <w:trHeight w:val="1271"/>
        </w:trPr>
        <w:tc>
          <w:tcPr>
            <w:tcW w:w="1321" w:type="dxa"/>
          </w:tcPr>
          <w:p w14:paraId="6C0757C1" w14:textId="540A3774"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1525</w:t>
            </w:r>
          </w:p>
        </w:tc>
        <w:tc>
          <w:tcPr>
            <w:tcW w:w="706" w:type="dxa"/>
          </w:tcPr>
          <w:p w14:paraId="70BE8032" w14:textId="02258622"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68</w:t>
            </w:r>
          </w:p>
        </w:tc>
        <w:tc>
          <w:tcPr>
            <w:tcW w:w="1560" w:type="dxa"/>
          </w:tcPr>
          <w:p w14:paraId="5748EC62" w14:textId="4A34E69C"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Warfarin / SSRI or SNRI with no major bleeding risk factors</w:t>
            </w:r>
          </w:p>
        </w:tc>
        <w:tc>
          <w:tcPr>
            <w:tcW w:w="1236" w:type="dxa"/>
          </w:tcPr>
          <w:p w14:paraId="23A14CEF" w14:textId="6B96074C"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Warfarin Sodium 10 MG Oral Tablet</w:t>
            </w:r>
          </w:p>
        </w:tc>
        <w:tc>
          <w:tcPr>
            <w:tcW w:w="1987" w:type="dxa"/>
          </w:tcPr>
          <w:p w14:paraId="7E1144C9" w14:textId="2BFEBBE5"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Escitalopram 20 MG Oral Tablet</w:t>
            </w:r>
          </w:p>
        </w:tc>
        <w:tc>
          <w:tcPr>
            <w:tcW w:w="2252" w:type="dxa"/>
          </w:tcPr>
          <w:p w14:paraId="7788DCA9" w14:textId="78EA1EC0"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None</w:t>
            </w:r>
          </w:p>
        </w:tc>
        <w:tc>
          <w:tcPr>
            <w:tcW w:w="2252" w:type="dxa"/>
          </w:tcPr>
          <w:p w14:paraId="58863328" w14:textId="0EAC201D"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Assess risk and take action if necessary</w:t>
            </w:r>
          </w:p>
        </w:tc>
        <w:tc>
          <w:tcPr>
            <w:tcW w:w="2184" w:type="dxa"/>
          </w:tcPr>
          <w:p w14:paraId="2F6577CC" w14:textId="7C58B3BA"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Increased GI and non-GI bleeding risk is possible</w:t>
            </w:r>
          </w:p>
        </w:tc>
      </w:tr>
      <w:tr w:rsidR="00657CA8" w14:paraId="1FFD6E59" w14:textId="77777777" w:rsidTr="00657CA8">
        <w:trPr>
          <w:trHeight w:val="1271"/>
        </w:trPr>
        <w:tc>
          <w:tcPr>
            <w:tcW w:w="1321" w:type="dxa"/>
          </w:tcPr>
          <w:p w14:paraId="20120F98" w14:textId="74236B6F" w:rsid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1529</w:t>
            </w:r>
          </w:p>
        </w:tc>
        <w:tc>
          <w:tcPr>
            <w:tcW w:w="706" w:type="dxa"/>
          </w:tcPr>
          <w:p w14:paraId="6FECF748" w14:textId="03E49F35" w:rsid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28</w:t>
            </w:r>
          </w:p>
        </w:tc>
        <w:tc>
          <w:tcPr>
            <w:tcW w:w="1560" w:type="dxa"/>
          </w:tcPr>
          <w:p w14:paraId="70D786C8" w14:textId="727762A4" w:rsidR="00657CA8" w:rsidRP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Warfarin / SSRI or SNRI with no major bleeding risk factors</w:t>
            </w:r>
          </w:p>
        </w:tc>
        <w:tc>
          <w:tcPr>
            <w:tcW w:w="1236" w:type="dxa"/>
          </w:tcPr>
          <w:p w14:paraId="175A89CA" w14:textId="3BD896E0"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Warfarin Sodium 10 MG Oral Tablet</w:t>
            </w:r>
          </w:p>
        </w:tc>
        <w:tc>
          <w:tcPr>
            <w:tcW w:w="1987" w:type="dxa"/>
          </w:tcPr>
          <w:p w14:paraId="0764C9DA" w14:textId="0F05718E" w:rsidR="00657CA8" w:rsidRPr="00657CA8" w:rsidRDefault="0078057A" w:rsidP="00657CA8">
            <w:pPr>
              <w:keepNext/>
              <w:rPr>
                <w:rFonts w:ascii="Arial" w:eastAsia="Arial" w:hAnsi="Arial" w:cs="Arial"/>
                <w:bCs/>
                <w:color w:val="000000"/>
                <w:sz w:val="20"/>
                <w:szCs w:val="20"/>
              </w:rPr>
            </w:pPr>
            <w:r w:rsidRPr="0078057A">
              <w:rPr>
                <w:rFonts w:ascii="Arial" w:eastAsia="Arial" w:hAnsi="Arial" w:cs="Arial"/>
                <w:bCs/>
                <w:color w:val="000000"/>
                <w:sz w:val="20"/>
                <w:szCs w:val="20"/>
              </w:rPr>
              <w:t>Escitalopram 20 MG Oral Tablet</w:t>
            </w:r>
          </w:p>
        </w:tc>
        <w:tc>
          <w:tcPr>
            <w:tcW w:w="2252" w:type="dxa"/>
          </w:tcPr>
          <w:p w14:paraId="40A05DE7" w14:textId="12A9721C" w:rsidR="00657CA8" w:rsidRDefault="00657CA8" w:rsidP="00657CA8">
            <w:pPr>
              <w:keepNext/>
              <w:rPr>
                <w:rFonts w:ascii="Arial" w:eastAsia="Arial" w:hAnsi="Arial" w:cs="Arial"/>
                <w:bCs/>
                <w:color w:val="000000"/>
                <w:sz w:val="20"/>
                <w:szCs w:val="20"/>
              </w:rPr>
            </w:pPr>
            <w:r>
              <w:rPr>
                <w:rFonts w:ascii="Arial" w:eastAsia="Arial" w:hAnsi="Arial" w:cs="Arial"/>
                <w:bCs/>
                <w:color w:val="000000"/>
                <w:sz w:val="20"/>
                <w:szCs w:val="20"/>
              </w:rPr>
              <w:t>None</w:t>
            </w:r>
          </w:p>
        </w:tc>
        <w:tc>
          <w:tcPr>
            <w:tcW w:w="2252" w:type="dxa"/>
          </w:tcPr>
          <w:p w14:paraId="633F391D" w14:textId="0A8B333B"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Assess risk and take action if necessary</w:t>
            </w:r>
          </w:p>
        </w:tc>
        <w:tc>
          <w:tcPr>
            <w:tcW w:w="2184" w:type="dxa"/>
          </w:tcPr>
          <w:p w14:paraId="0B7EF158" w14:textId="193924CB" w:rsidR="00657CA8" w:rsidRPr="00657CA8" w:rsidRDefault="00657CA8" w:rsidP="00657CA8">
            <w:pPr>
              <w:keepNext/>
              <w:rPr>
                <w:rFonts w:ascii="Arial" w:eastAsia="Arial" w:hAnsi="Arial" w:cs="Arial"/>
                <w:bCs/>
                <w:color w:val="000000"/>
                <w:sz w:val="20"/>
                <w:szCs w:val="20"/>
              </w:rPr>
            </w:pPr>
            <w:r w:rsidRPr="00657CA8">
              <w:rPr>
                <w:rFonts w:ascii="Arial" w:eastAsia="Arial" w:hAnsi="Arial" w:cs="Arial"/>
                <w:bCs/>
                <w:color w:val="000000"/>
                <w:sz w:val="20"/>
                <w:szCs w:val="20"/>
              </w:rPr>
              <w:t>Increased GI and non-GI bleeding risk is possible</w:t>
            </w:r>
          </w:p>
        </w:tc>
      </w:tr>
    </w:tbl>
    <w:p w14:paraId="564825DD" w14:textId="77777777" w:rsidR="00A21851" w:rsidRPr="00A21851" w:rsidRDefault="00A21851" w:rsidP="00A21851">
      <w:pPr>
        <w:keepNext/>
        <w:pBdr>
          <w:top w:val="nil"/>
          <w:left w:val="nil"/>
          <w:bottom w:val="nil"/>
          <w:right w:val="nil"/>
          <w:between w:val="nil"/>
        </w:pBdr>
        <w:rPr>
          <w:rFonts w:ascii="Arial" w:eastAsia="Arial" w:hAnsi="Arial" w:cs="Arial"/>
          <w:b/>
          <w:color w:val="000000"/>
          <w:sz w:val="20"/>
          <w:szCs w:val="20"/>
        </w:rPr>
      </w:pPr>
    </w:p>
    <w:p w14:paraId="24D0471F" w14:textId="22693C4C" w:rsidR="00A21851" w:rsidRDefault="00A21851" w:rsidP="00A21851">
      <w:pPr>
        <w:keepNext/>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Table 4: Class 2/3 (Red) Alert Basic Tests</w:t>
      </w:r>
    </w:p>
    <w:tbl>
      <w:tblPr>
        <w:tblStyle w:val="TableGrid"/>
        <w:tblW w:w="11359" w:type="dxa"/>
        <w:tblLook w:val="04A0" w:firstRow="1" w:lastRow="0" w:firstColumn="1" w:lastColumn="0" w:noHBand="0" w:noVBand="1"/>
      </w:tblPr>
      <w:tblGrid>
        <w:gridCol w:w="1112"/>
        <w:gridCol w:w="594"/>
        <w:gridCol w:w="1313"/>
        <w:gridCol w:w="1040"/>
        <w:gridCol w:w="1672"/>
        <w:gridCol w:w="1895"/>
        <w:gridCol w:w="1895"/>
        <w:gridCol w:w="1838"/>
      </w:tblGrid>
      <w:tr w:rsidR="00D64269" w14:paraId="175169CC" w14:textId="77777777" w:rsidTr="00D64269">
        <w:tc>
          <w:tcPr>
            <w:tcW w:w="1112" w:type="dxa"/>
          </w:tcPr>
          <w:p w14:paraId="75FDB605"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lastRenderedPageBreak/>
              <w:t>Patient ID</w:t>
            </w:r>
          </w:p>
        </w:tc>
        <w:tc>
          <w:tcPr>
            <w:tcW w:w="594" w:type="dxa"/>
          </w:tcPr>
          <w:p w14:paraId="213CCD29"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Age</w:t>
            </w:r>
          </w:p>
        </w:tc>
        <w:tc>
          <w:tcPr>
            <w:tcW w:w="1313" w:type="dxa"/>
          </w:tcPr>
          <w:p w14:paraId="349774BD"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Rule Branch</w:t>
            </w:r>
          </w:p>
        </w:tc>
        <w:tc>
          <w:tcPr>
            <w:tcW w:w="1040" w:type="dxa"/>
          </w:tcPr>
          <w:p w14:paraId="31663E25"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Warfarin</w:t>
            </w:r>
          </w:p>
        </w:tc>
        <w:tc>
          <w:tcPr>
            <w:tcW w:w="1672" w:type="dxa"/>
          </w:tcPr>
          <w:p w14:paraId="3A6ACFDB"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Antidepressant</w:t>
            </w:r>
          </w:p>
        </w:tc>
        <w:tc>
          <w:tcPr>
            <w:tcW w:w="1895" w:type="dxa"/>
          </w:tcPr>
          <w:p w14:paraId="359948F8" w14:textId="2626CC46"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Bleeding Risk Factor</w:t>
            </w:r>
          </w:p>
        </w:tc>
        <w:tc>
          <w:tcPr>
            <w:tcW w:w="1895" w:type="dxa"/>
          </w:tcPr>
          <w:p w14:paraId="2EB4EA2A" w14:textId="49C21480"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RESULT: Recommendation</w:t>
            </w:r>
          </w:p>
        </w:tc>
        <w:tc>
          <w:tcPr>
            <w:tcW w:w="1838" w:type="dxa"/>
          </w:tcPr>
          <w:p w14:paraId="6D880C6B" w14:textId="77777777" w:rsidR="00D64269" w:rsidRDefault="00D64269" w:rsidP="00657CA8">
            <w:pPr>
              <w:keepNext/>
              <w:rPr>
                <w:rFonts w:ascii="Arial" w:eastAsia="Arial" w:hAnsi="Arial" w:cs="Arial"/>
                <w:b/>
                <w:color w:val="000000"/>
                <w:sz w:val="20"/>
                <w:szCs w:val="20"/>
              </w:rPr>
            </w:pPr>
            <w:r>
              <w:rPr>
                <w:rFonts w:ascii="Arial" w:eastAsia="Arial" w:hAnsi="Arial" w:cs="Arial"/>
                <w:b/>
                <w:color w:val="000000"/>
                <w:sz w:val="20"/>
                <w:szCs w:val="20"/>
              </w:rPr>
              <w:t>RESULT: Rationale</w:t>
            </w:r>
          </w:p>
        </w:tc>
      </w:tr>
      <w:tr w:rsidR="0078057A" w14:paraId="51F66A9E" w14:textId="77777777" w:rsidTr="00D64269">
        <w:tc>
          <w:tcPr>
            <w:tcW w:w="1112" w:type="dxa"/>
          </w:tcPr>
          <w:p w14:paraId="3EC391AC" w14:textId="44398657" w:rsidR="0078057A" w:rsidRDefault="0078057A" w:rsidP="0078057A">
            <w:pPr>
              <w:keepNext/>
              <w:rPr>
                <w:rFonts w:ascii="Arial" w:eastAsia="Arial" w:hAnsi="Arial" w:cs="Arial"/>
                <w:b/>
                <w:color w:val="000000"/>
                <w:sz w:val="20"/>
                <w:szCs w:val="20"/>
              </w:rPr>
            </w:pPr>
            <w:r>
              <w:rPr>
                <w:rFonts w:ascii="Arial" w:eastAsia="Arial" w:hAnsi="Arial" w:cs="Arial"/>
                <w:bCs/>
                <w:color w:val="000000"/>
                <w:sz w:val="20"/>
                <w:szCs w:val="20"/>
              </w:rPr>
              <w:t>1526</w:t>
            </w:r>
          </w:p>
        </w:tc>
        <w:tc>
          <w:tcPr>
            <w:tcW w:w="594" w:type="dxa"/>
          </w:tcPr>
          <w:p w14:paraId="6FB84232" w14:textId="6DE38993" w:rsidR="0078057A" w:rsidRDefault="0078057A" w:rsidP="0078057A">
            <w:pPr>
              <w:keepNext/>
              <w:rPr>
                <w:rFonts w:ascii="Arial" w:eastAsia="Arial" w:hAnsi="Arial" w:cs="Arial"/>
                <w:b/>
                <w:color w:val="000000"/>
                <w:sz w:val="20"/>
                <w:szCs w:val="20"/>
              </w:rPr>
            </w:pPr>
            <w:r>
              <w:rPr>
                <w:rFonts w:ascii="Arial" w:eastAsia="Arial" w:hAnsi="Arial" w:cs="Arial"/>
                <w:bCs/>
                <w:color w:val="000000"/>
                <w:sz w:val="20"/>
                <w:szCs w:val="20"/>
              </w:rPr>
              <w:t>33</w:t>
            </w:r>
          </w:p>
        </w:tc>
        <w:tc>
          <w:tcPr>
            <w:tcW w:w="1313" w:type="dxa"/>
          </w:tcPr>
          <w:p w14:paraId="0AD05E12" w14:textId="026EE6E9" w:rsidR="0078057A" w:rsidRDefault="0078057A" w:rsidP="0078057A">
            <w:pPr>
              <w:keepNext/>
              <w:rPr>
                <w:rFonts w:ascii="Arial" w:eastAsia="Arial" w:hAnsi="Arial" w:cs="Arial"/>
                <w:b/>
                <w:color w:val="000000"/>
                <w:sz w:val="20"/>
                <w:szCs w:val="20"/>
              </w:rPr>
            </w:pPr>
            <w:r>
              <w:rPr>
                <w:rFonts w:ascii="Arial" w:eastAsia="Arial" w:hAnsi="Arial" w:cs="Arial"/>
                <w:bCs/>
                <w:color w:val="000000"/>
                <w:sz w:val="20"/>
                <w:szCs w:val="20"/>
              </w:rPr>
              <w:t>Warfarin / SSRI or SNRI with major bleeding risk factors</w:t>
            </w:r>
          </w:p>
        </w:tc>
        <w:tc>
          <w:tcPr>
            <w:tcW w:w="1040" w:type="dxa"/>
          </w:tcPr>
          <w:p w14:paraId="76B58D36" w14:textId="230F7AF0" w:rsidR="0078057A" w:rsidRDefault="0078057A" w:rsidP="0078057A">
            <w:pPr>
              <w:keepNext/>
              <w:rPr>
                <w:rFonts w:ascii="Arial" w:eastAsia="Arial" w:hAnsi="Arial" w:cs="Arial"/>
                <w:b/>
                <w:color w:val="000000"/>
                <w:sz w:val="20"/>
                <w:szCs w:val="20"/>
              </w:rPr>
            </w:pPr>
            <w:r w:rsidRPr="00657CA8">
              <w:rPr>
                <w:rFonts w:ascii="Arial" w:eastAsia="Arial" w:hAnsi="Arial" w:cs="Arial"/>
                <w:bCs/>
                <w:color w:val="000000"/>
                <w:sz w:val="20"/>
                <w:szCs w:val="20"/>
              </w:rPr>
              <w:t>Warfarin Sodium 10 MG Oral Tablet</w:t>
            </w:r>
          </w:p>
        </w:tc>
        <w:tc>
          <w:tcPr>
            <w:tcW w:w="1672" w:type="dxa"/>
          </w:tcPr>
          <w:p w14:paraId="2DF7450F" w14:textId="23EC1D69" w:rsidR="0078057A" w:rsidRDefault="0078057A" w:rsidP="0078057A">
            <w:pPr>
              <w:keepNext/>
              <w:rPr>
                <w:rFonts w:ascii="Arial" w:eastAsia="Arial" w:hAnsi="Arial" w:cs="Arial"/>
                <w:b/>
                <w:color w:val="000000"/>
                <w:sz w:val="20"/>
                <w:szCs w:val="20"/>
              </w:rPr>
            </w:pPr>
            <w:r w:rsidRPr="00657CA8">
              <w:rPr>
                <w:rFonts w:ascii="Arial" w:eastAsia="Arial" w:hAnsi="Arial" w:cs="Arial"/>
                <w:bCs/>
                <w:color w:val="000000"/>
                <w:sz w:val="20"/>
                <w:szCs w:val="20"/>
              </w:rPr>
              <w:t>Escitalopram 20 MG Oral Tablet</w:t>
            </w:r>
          </w:p>
        </w:tc>
        <w:tc>
          <w:tcPr>
            <w:tcW w:w="1895" w:type="dxa"/>
          </w:tcPr>
          <w:p w14:paraId="02210E6B" w14:textId="344284D5" w:rsidR="0078057A" w:rsidRDefault="0078057A" w:rsidP="0078057A">
            <w:pPr>
              <w:keepNext/>
              <w:rPr>
                <w:rFonts w:ascii="Arial" w:eastAsia="Arial" w:hAnsi="Arial" w:cs="Arial"/>
                <w:b/>
                <w:color w:val="000000"/>
                <w:sz w:val="20"/>
                <w:szCs w:val="20"/>
              </w:rPr>
            </w:pPr>
            <w:r>
              <w:rPr>
                <w:rFonts w:ascii="Arial" w:eastAsia="Arial" w:hAnsi="Arial" w:cs="Arial"/>
                <w:bCs/>
                <w:color w:val="000000"/>
                <w:sz w:val="20"/>
                <w:szCs w:val="20"/>
              </w:rPr>
              <w:t xml:space="preserve">Systemic Corticosteroid = </w:t>
            </w:r>
            <w:r w:rsidRPr="0078057A">
              <w:rPr>
                <w:rFonts w:ascii="Arial" w:eastAsia="Arial" w:hAnsi="Arial" w:cs="Arial"/>
                <w:bCs/>
                <w:color w:val="000000"/>
                <w:sz w:val="20"/>
                <w:szCs w:val="20"/>
              </w:rPr>
              <w:t>Prednisone 5 MG Oral Tablet</w:t>
            </w:r>
          </w:p>
        </w:tc>
        <w:tc>
          <w:tcPr>
            <w:tcW w:w="1895" w:type="dxa"/>
          </w:tcPr>
          <w:p w14:paraId="4932DAAA" w14:textId="0EE00FE3" w:rsidR="0078057A" w:rsidRDefault="0078057A" w:rsidP="0078057A">
            <w:pPr>
              <w:keepNext/>
              <w:rPr>
                <w:rFonts w:ascii="Arial" w:eastAsia="Arial" w:hAnsi="Arial" w:cs="Arial"/>
                <w:b/>
                <w:color w:val="000000"/>
                <w:sz w:val="20"/>
                <w:szCs w:val="20"/>
              </w:rPr>
            </w:pPr>
            <w:r>
              <w:rPr>
                <w:rFonts w:ascii="Arial" w:eastAsia="Arial" w:hAnsi="Arial" w:cs="Arial"/>
                <w:bCs/>
                <w:color w:val="000000"/>
                <w:sz w:val="20"/>
                <w:szCs w:val="20"/>
              </w:rPr>
              <w:t>Use only if benefit outweighs risk</w:t>
            </w:r>
          </w:p>
        </w:tc>
        <w:tc>
          <w:tcPr>
            <w:tcW w:w="1838" w:type="dxa"/>
          </w:tcPr>
          <w:p w14:paraId="3EFB83A7" w14:textId="60DBB90B" w:rsidR="0078057A" w:rsidRDefault="0078057A" w:rsidP="0078057A">
            <w:pPr>
              <w:keepNext/>
              <w:rPr>
                <w:rFonts w:ascii="Arial" w:eastAsia="Arial" w:hAnsi="Arial" w:cs="Arial"/>
                <w:b/>
                <w:color w:val="000000"/>
                <w:sz w:val="20"/>
                <w:szCs w:val="20"/>
              </w:rPr>
            </w:pPr>
            <w:r w:rsidRPr="00657CA8">
              <w:rPr>
                <w:rFonts w:ascii="Arial" w:eastAsia="Arial" w:hAnsi="Arial" w:cs="Arial"/>
                <w:bCs/>
                <w:color w:val="000000"/>
                <w:sz w:val="20"/>
                <w:szCs w:val="20"/>
              </w:rPr>
              <w:t xml:space="preserve">Increased GI and non-GI bleeding risk is </w:t>
            </w:r>
            <w:r>
              <w:rPr>
                <w:rFonts w:ascii="Arial" w:eastAsia="Arial" w:hAnsi="Arial" w:cs="Arial"/>
                <w:bCs/>
                <w:color w:val="000000"/>
                <w:sz w:val="20"/>
                <w:szCs w:val="20"/>
              </w:rPr>
              <w:t>likely</w:t>
            </w:r>
          </w:p>
        </w:tc>
      </w:tr>
      <w:tr w:rsidR="0078057A" w14:paraId="62105891" w14:textId="77777777" w:rsidTr="00D64269">
        <w:tc>
          <w:tcPr>
            <w:tcW w:w="1112" w:type="dxa"/>
          </w:tcPr>
          <w:p w14:paraId="121E765B" w14:textId="64651D7F"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1527</w:t>
            </w:r>
          </w:p>
        </w:tc>
        <w:tc>
          <w:tcPr>
            <w:tcW w:w="594" w:type="dxa"/>
          </w:tcPr>
          <w:p w14:paraId="35AF397B" w14:textId="4EDFC025"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16</w:t>
            </w:r>
          </w:p>
        </w:tc>
        <w:tc>
          <w:tcPr>
            <w:tcW w:w="1313" w:type="dxa"/>
          </w:tcPr>
          <w:p w14:paraId="1E3CF4E9" w14:textId="30F440EF"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Warfarin / SSRI or SNRI with major bleeding risk factors</w:t>
            </w:r>
          </w:p>
        </w:tc>
        <w:tc>
          <w:tcPr>
            <w:tcW w:w="1040" w:type="dxa"/>
          </w:tcPr>
          <w:p w14:paraId="238C3E3A" w14:textId="256BECB0" w:rsidR="0078057A" w:rsidRPr="00657CA8" w:rsidRDefault="0078057A" w:rsidP="0078057A">
            <w:pPr>
              <w:keepNext/>
              <w:rPr>
                <w:rFonts w:ascii="Arial" w:eastAsia="Arial" w:hAnsi="Arial" w:cs="Arial"/>
                <w:bCs/>
                <w:color w:val="000000"/>
                <w:sz w:val="20"/>
                <w:szCs w:val="20"/>
              </w:rPr>
            </w:pPr>
            <w:r w:rsidRPr="00657CA8">
              <w:rPr>
                <w:rFonts w:ascii="Arial" w:eastAsia="Arial" w:hAnsi="Arial" w:cs="Arial"/>
                <w:bCs/>
                <w:color w:val="000000"/>
                <w:sz w:val="20"/>
                <w:szCs w:val="20"/>
              </w:rPr>
              <w:t>Warfarin Sodium 10 MG Oral Tablet</w:t>
            </w:r>
          </w:p>
        </w:tc>
        <w:tc>
          <w:tcPr>
            <w:tcW w:w="1672" w:type="dxa"/>
          </w:tcPr>
          <w:p w14:paraId="563BF7A8" w14:textId="4DCFC0E8" w:rsidR="0078057A" w:rsidRPr="00657CA8" w:rsidRDefault="0078057A" w:rsidP="0078057A">
            <w:pPr>
              <w:keepNext/>
              <w:rPr>
                <w:rFonts w:ascii="Arial" w:eastAsia="Arial" w:hAnsi="Arial" w:cs="Arial"/>
                <w:bCs/>
                <w:color w:val="000000"/>
                <w:sz w:val="20"/>
                <w:szCs w:val="20"/>
              </w:rPr>
            </w:pPr>
            <w:r w:rsidRPr="0078057A">
              <w:rPr>
                <w:rFonts w:ascii="Arial" w:eastAsia="Arial" w:hAnsi="Arial" w:cs="Arial"/>
                <w:bCs/>
                <w:color w:val="000000"/>
                <w:sz w:val="20"/>
                <w:szCs w:val="20"/>
              </w:rPr>
              <w:t>Escitalopram 20 MG Oral Tablet</w:t>
            </w:r>
          </w:p>
        </w:tc>
        <w:tc>
          <w:tcPr>
            <w:tcW w:w="1895" w:type="dxa"/>
          </w:tcPr>
          <w:p w14:paraId="5598D7E6" w14:textId="78B8A848"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 xml:space="preserve">Aldosterone Antagonist = </w:t>
            </w:r>
            <w:r w:rsidRPr="0078057A">
              <w:rPr>
                <w:rFonts w:ascii="Arial" w:eastAsia="Arial" w:hAnsi="Arial" w:cs="Arial"/>
                <w:bCs/>
                <w:color w:val="000000"/>
                <w:sz w:val="20"/>
                <w:szCs w:val="20"/>
              </w:rPr>
              <w:t>Spironolactone 100 MG Oral Tablet</w:t>
            </w:r>
          </w:p>
        </w:tc>
        <w:tc>
          <w:tcPr>
            <w:tcW w:w="1895" w:type="dxa"/>
          </w:tcPr>
          <w:p w14:paraId="639F73A9" w14:textId="3FF37AAE"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Use only if benefit outweighs risk</w:t>
            </w:r>
          </w:p>
        </w:tc>
        <w:tc>
          <w:tcPr>
            <w:tcW w:w="1838" w:type="dxa"/>
          </w:tcPr>
          <w:p w14:paraId="772503D1" w14:textId="7AB64018" w:rsidR="0078057A" w:rsidRPr="00657CA8" w:rsidRDefault="0078057A" w:rsidP="0078057A">
            <w:pPr>
              <w:keepNext/>
              <w:rPr>
                <w:rFonts w:ascii="Arial" w:eastAsia="Arial" w:hAnsi="Arial" w:cs="Arial"/>
                <w:bCs/>
                <w:color w:val="000000"/>
                <w:sz w:val="20"/>
                <w:szCs w:val="20"/>
              </w:rPr>
            </w:pPr>
            <w:r w:rsidRPr="00657CA8">
              <w:rPr>
                <w:rFonts w:ascii="Arial" w:eastAsia="Arial" w:hAnsi="Arial" w:cs="Arial"/>
                <w:bCs/>
                <w:color w:val="000000"/>
                <w:sz w:val="20"/>
                <w:szCs w:val="20"/>
              </w:rPr>
              <w:t xml:space="preserve">Increased GI and non-GI bleeding risk is </w:t>
            </w:r>
            <w:r>
              <w:rPr>
                <w:rFonts w:ascii="Arial" w:eastAsia="Arial" w:hAnsi="Arial" w:cs="Arial"/>
                <w:bCs/>
                <w:color w:val="000000"/>
                <w:sz w:val="20"/>
                <w:szCs w:val="20"/>
              </w:rPr>
              <w:t>likely</w:t>
            </w:r>
          </w:p>
        </w:tc>
      </w:tr>
      <w:tr w:rsidR="0078057A" w14:paraId="5EB9AACC" w14:textId="77777777" w:rsidTr="00D64269">
        <w:tc>
          <w:tcPr>
            <w:tcW w:w="1112" w:type="dxa"/>
          </w:tcPr>
          <w:p w14:paraId="7E57E109" w14:textId="25D8FBD6"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1528</w:t>
            </w:r>
          </w:p>
        </w:tc>
        <w:tc>
          <w:tcPr>
            <w:tcW w:w="594" w:type="dxa"/>
          </w:tcPr>
          <w:p w14:paraId="0C6122FD" w14:textId="05BCEAEC"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18</w:t>
            </w:r>
          </w:p>
        </w:tc>
        <w:tc>
          <w:tcPr>
            <w:tcW w:w="1313" w:type="dxa"/>
          </w:tcPr>
          <w:p w14:paraId="0587FC2F" w14:textId="38851513"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Warfarin / SSRI or SNRI with major bleeding risk factors</w:t>
            </w:r>
          </w:p>
        </w:tc>
        <w:tc>
          <w:tcPr>
            <w:tcW w:w="1040" w:type="dxa"/>
          </w:tcPr>
          <w:p w14:paraId="4CE25A5C" w14:textId="1807A6A6" w:rsidR="0078057A" w:rsidRPr="00657CA8" w:rsidRDefault="0078057A" w:rsidP="0078057A">
            <w:pPr>
              <w:keepNext/>
              <w:rPr>
                <w:rFonts w:ascii="Arial" w:eastAsia="Arial" w:hAnsi="Arial" w:cs="Arial"/>
                <w:bCs/>
                <w:color w:val="000000"/>
                <w:sz w:val="20"/>
                <w:szCs w:val="20"/>
              </w:rPr>
            </w:pPr>
            <w:r w:rsidRPr="0078057A">
              <w:rPr>
                <w:rFonts w:ascii="Arial" w:eastAsia="Arial" w:hAnsi="Arial" w:cs="Arial"/>
                <w:bCs/>
                <w:color w:val="000000"/>
                <w:sz w:val="20"/>
                <w:szCs w:val="20"/>
              </w:rPr>
              <w:t>Warfarin Sodium 10 MG Oral Tablet</w:t>
            </w:r>
          </w:p>
        </w:tc>
        <w:tc>
          <w:tcPr>
            <w:tcW w:w="1672" w:type="dxa"/>
          </w:tcPr>
          <w:p w14:paraId="22B1599C" w14:textId="4C8B9480" w:rsidR="0078057A" w:rsidRPr="0078057A" w:rsidRDefault="0078057A" w:rsidP="0078057A">
            <w:pPr>
              <w:keepNext/>
              <w:rPr>
                <w:rFonts w:ascii="Arial" w:eastAsia="Arial" w:hAnsi="Arial" w:cs="Arial"/>
                <w:bCs/>
                <w:color w:val="000000"/>
                <w:sz w:val="20"/>
                <w:szCs w:val="20"/>
              </w:rPr>
            </w:pPr>
            <w:r w:rsidRPr="0078057A">
              <w:rPr>
                <w:rFonts w:ascii="Arial" w:eastAsia="Arial" w:hAnsi="Arial" w:cs="Arial"/>
                <w:bCs/>
                <w:color w:val="000000"/>
                <w:sz w:val="20"/>
                <w:szCs w:val="20"/>
              </w:rPr>
              <w:t>Escitalopram 20 MG Oral Tablet</w:t>
            </w:r>
          </w:p>
        </w:tc>
        <w:tc>
          <w:tcPr>
            <w:tcW w:w="1895" w:type="dxa"/>
          </w:tcPr>
          <w:p w14:paraId="08C77584" w14:textId="64FE1D86"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 xml:space="preserve">History of GI Bleeds = </w:t>
            </w:r>
            <w:r w:rsidRPr="0078057A">
              <w:rPr>
                <w:rFonts w:ascii="Arial" w:eastAsia="Arial" w:hAnsi="Arial" w:cs="Arial"/>
                <w:bCs/>
                <w:color w:val="000000"/>
                <w:sz w:val="20"/>
                <w:szCs w:val="20"/>
              </w:rPr>
              <w:t>Acute peptic ulcer with hemorrhage</w:t>
            </w:r>
          </w:p>
        </w:tc>
        <w:tc>
          <w:tcPr>
            <w:tcW w:w="1895" w:type="dxa"/>
          </w:tcPr>
          <w:p w14:paraId="66F3F323" w14:textId="115C7F33" w:rsidR="0078057A" w:rsidRDefault="0078057A" w:rsidP="0078057A">
            <w:pPr>
              <w:keepNext/>
              <w:rPr>
                <w:rFonts w:ascii="Arial" w:eastAsia="Arial" w:hAnsi="Arial" w:cs="Arial"/>
                <w:bCs/>
                <w:color w:val="000000"/>
                <w:sz w:val="20"/>
                <w:szCs w:val="20"/>
              </w:rPr>
            </w:pPr>
            <w:r>
              <w:rPr>
                <w:rFonts w:ascii="Arial" w:eastAsia="Arial" w:hAnsi="Arial" w:cs="Arial"/>
                <w:bCs/>
                <w:color w:val="000000"/>
                <w:sz w:val="20"/>
                <w:szCs w:val="20"/>
              </w:rPr>
              <w:t>Use only if benefit outweighs risk</w:t>
            </w:r>
          </w:p>
        </w:tc>
        <w:tc>
          <w:tcPr>
            <w:tcW w:w="1838" w:type="dxa"/>
          </w:tcPr>
          <w:p w14:paraId="37C369AC" w14:textId="248885CB" w:rsidR="0078057A" w:rsidRPr="00657CA8" w:rsidRDefault="0078057A" w:rsidP="0078057A">
            <w:pPr>
              <w:keepNext/>
              <w:rPr>
                <w:rFonts w:ascii="Arial" w:eastAsia="Arial" w:hAnsi="Arial" w:cs="Arial"/>
                <w:bCs/>
                <w:color w:val="000000"/>
                <w:sz w:val="20"/>
                <w:szCs w:val="20"/>
              </w:rPr>
            </w:pPr>
            <w:r w:rsidRPr="00657CA8">
              <w:rPr>
                <w:rFonts w:ascii="Arial" w:eastAsia="Arial" w:hAnsi="Arial" w:cs="Arial"/>
                <w:bCs/>
                <w:color w:val="000000"/>
                <w:sz w:val="20"/>
                <w:szCs w:val="20"/>
              </w:rPr>
              <w:t xml:space="preserve">Increased GI and non-GI bleeding risk is </w:t>
            </w:r>
            <w:r>
              <w:rPr>
                <w:rFonts w:ascii="Arial" w:eastAsia="Arial" w:hAnsi="Arial" w:cs="Arial"/>
                <w:bCs/>
                <w:color w:val="000000"/>
                <w:sz w:val="20"/>
                <w:szCs w:val="20"/>
              </w:rPr>
              <w:t>likely</w:t>
            </w:r>
          </w:p>
        </w:tc>
      </w:tr>
    </w:tbl>
    <w:p w14:paraId="3F03060A" w14:textId="77777777" w:rsidR="00004AE3" w:rsidRDefault="00004AE3">
      <w:pPr>
        <w:spacing w:before="0" w:after="0"/>
      </w:pPr>
    </w:p>
    <w:p w14:paraId="7E209440" w14:textId="77777777" w:rsidR="00D64269" w:rsidRDefault="00D64269">
      <w:pPr>
        <w:rPr>
          <w:rFonts w:ascii="Arial" w:eastAsia="Arial" w:hAnsi="Arial" w:cs="Arial"/>
          <w:b/>
          <w:color w:val="000000"/>
          <w:sz w:val="32"/>
          <w:szCs w:val="32"/>
        </w:rPr>
      </w:pPr>
      <w:bookmarkStart w:id="28" w:name="_heading=h.3as4poj" w:colFirst="0" w:colLast="0"/>
      <w:bookmarkEnd w:id="28"/>
      <w:r>
        <w:rPr>
          <w:rFonts w:ascii="Arial" w:eastAsia="Arial" w:hAnsi="Arial" w:cs="Arial"/>
          <w:b/>
          <w:color w:val="000000"/>
          <w:sz w:val="32"/>
          <w:szCs w:val="32"/>
        </w:rPr>
        <w:br w:type="page"/>
      </w:r>
    </w:p>
    <w:p w14:paraId="720B7543" w14:textId="5AD024CC" w:rsidR="00004AE3" w:rsidRDefault="00AA75A6">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r>
        <w:rPr>
          <w:rFonts w:ascii="Arial" w:eastAsia="Arial" w:hAnsi="Arial" w:cs="Arial"/>
          <w:b/>
          <w:color w:val="000000"/>
          <w:sz w:val="32"/>
          <w:szCs w:val="32"/>
        </w:rPr>
        <w:lastRenderedPageBreak/>
        <w:t>Appendix B: Decision Log</w:t>
      </w:r>
    </w:p>
    <w:p w14:paraId="3C9E7E0E" w14:textId="77777777" w:rsidR="00004AE3" w:rsidRDefault="00AA75A6">
      <w:r>
        <w:t>The decision log was generated per procedures published by Tso et al.,</w:t>
      </w:r>
      <w:r>
        <w:rPr>
          <w:vertAlign w:val="superscript"/>
        </w:rPr>
        <w:t>4</w:t>
      </w:r>
      <w:r>
        <w:t xml:space="preserve"> which incorporates and extends steps that Shiffman et al.</w:t>
      </w:r>
      <w:r>
        <w:rPr>
          <w:vertAlign w:val="superscript"/>
        </w:rPr>
        <w:t>5</w:t>
      </w:r>
      <w:r>
        <w:t xml:space="preserve"> outlined for translating clinical practice guidelines to CDS. Brief descriptions of the steps in this process are included in the following table:</w:t>
      </w:r>
    </w:p>
    <w:p w14:paraId="2756BC86" w14:textId="77777777" w:rsidR="00004AE3" w:rsidRDefault="00AA75A6">
      <w:pPr>
        <w:keepNext/>
        <w:pBdr>
          <w:top w:val="nil"/>
          <w:left w:val="nil"/>
          <w:bottom w:val="nil"/>
          <w:right w:val="nil"/>
          <w:between w:val="nil"/>
        </w:pBdr>
        <w:rPr>
          <w:rFonts w:ascii="Arial" w:eastAsia="Arial" w:hAnsi="Arial" w:cs="Arial"/>
          <w:b/>
          <w:color w:val="000000"/>
          <w:sz w:val="20"/>
          <w:szCs w:val="20"/>
        </w:rPr>
      </w:pPr>
      <w:bookmarkStart w:id="29" w:name="_heading=h.1pxezwc" w:colFirst="0" w:colLast="0"/>
      <w:bookmarkEnd w:id="29"/>
      <w:r>
        <w:rPr>
          <w:rFonts w:ascii="Arial" w:eastAsia="Arial" w:hAnsi="Arial" w:cs="Arial"/>
          <w:b/>
          <w:color w:val="000000"/>
          <w:sz w:val="20"/>
          <w:szCs w:val="20"/>
        </w:rPr>
        <w:t>Table 5: Definitions of Shiffman's Steps</w:t>
      </w:r>
    </w:p>
    <w:tbl>
      <w:tblPr>
        <w:tblStyle w:val="a3"/>
        <w:tblW w:w="12955" w:type="dxa"/>
        <w:tblLayout w:type="fixed"/>
        <w:tblLook w:val="0400" w:firstRow="0" w:lastRow="0" w:firstColumn="0" w:lastColumn="0" w:noHBand="0" w:noVBand="1"/>
      </w:tblPr>
      <w:tblGrid>
        <w:gridCol w:w="3799"/>
        <w:gridCol w:w="9156"/>
      </w:tblGrid>
      <w:tr w:rsidR="00004AE3" w14:paraId="00FE09F7" w14:textId="77777777">
        <w:trPr>
          <w:trHeight w:val="260"/>
        </w:trPr>
        <w:tc>
          <w:tcPr>
            <w:tcW w:w="379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58B2790"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Decision Category</w:t>
            </w:r>
          </w:p>
        </w:tc>
        <w:tc>
          <w:tcPr>
            <w:tcW w:w="9156" w:type="dxa"/>
            <w:tcBorders>
              <w:top w:val="single" w:sz="4" w:space="0" w:color="000000"/>
              <w:bottom w:val="single" w:sz="4" w:space="0" w:color="000000"/>
              <w:right w:val="single" w:sz="4" w:space="0" w:color="000000"/>
            </w:tcBorders>
            <w:shd w:val="clear" w:color="auto" w:fill="BFBFBF"/>
            <w:vAlign w:val="bottom"/>
          </w:tcPr>
          <w:p w14:paraId="067992B6"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Definition</w:t>
            </w:r>
          </w:p>
        </w:tc>
      </w:tr>
      <w:tr w:rsidR="00004AE3" w14:paraId="7C90BA4D"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2CD104E6"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Select Guidelines </w:t>
            </w:r>
          </w:p>
        </w:tc>
        <w:tc>
          <w:tcPr>
            <w:tcW w:w="9156" w:type="dxa"/>
            <w:tcBorders>
              <w:bottom w:val="single" w:sz="4" w:space="0" w:color="000000"/>
              <w:right w:val="single" w:sz="4" w:space="0" w:color="000000"/>
            </w:tcBorders>
            <w:shd w:val="clear" w:color="auto" w:fill="auto"/>
            <w:vAlign w:val="bottom"/>
          </w:tcPr>
          <w:p w14:paraId="69B5BFEC"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Choosing specific guidelines and specific recommendations within the selected guidelines to be implemented </w:t>
            </w:r>
          </w:p>
        </w:tc>
      </w:tr>
      <w:tr w:rsidR="00004AE3" w14:paraId="74CDFB49"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57482457"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Markup </w:t>
            </w:r>
          </w:p>
        </w:tc>
        <w:tc>
          <w:tcPr>
            <w:tcW w:w="9156" w:type="dxa"/>
            <w:tcBorders>
              <w:bottom w:val="single" w:sz="4" w:space="0" w:color="000000"/>
              <w:right w:val="single" w:sz="4" w:space="0" w:color="000000"/>
            </w:tcBorders>
            <w:shd w:val="clear" w:color="auto" w:fill="auto"/>
            <w:vAlign w:val="bottom"/>
          </w:tcPr>
          <w:p w14:paraId="05A70DED"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and tagging guideline knowledge components relevant to operationalization </w:t>
            </w:r>
          </w:p>
        </w:tc>
      </w:tr>
      <w:tr w:rsidR="00004AE3" w14:paraId="06F27357"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1D2E1695"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Atomize </w:t>
            </w:r>
          </w:p>
        </w:tc>
        <w:tc>
          <w:tcPr>
            <w:tcW w:w="9156" w:type="dxa"/>
            <w:tcBorders>
              <w:bottom w:val="single" w:sz="4" w:space="0" w:color="000000"/>
              <w:right w:val="single" w:sz="4" w:space="0" w:color="000000"/>
            </w:tcBorders>
            <w:shd w:val="clear" w:color="auto" w:fill="auto"/>
            <w:vAlign w:val="bottom"/>
          </w:tcPr>
          <w:p w14:paraId="0C251DBC"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extracting and refining single concepts from the narrative text recommendations </w:t>
            </w:r>
          </w:p>
        </w:tc>
      </w:tr>
      <w:tr w:rsidR="00004AE3" w14:paraId="4EFE240F"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1E3F935E"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Deabstract </w:t>
            </w:r>
          </w:p>
        </w:tc>
        <w:tc>
          <w:tcPr>
            <w:tcW w:w="9156" w:type="dxa"/>
            <w:tcBorders>
              <w:bottom w:val="single" w:sz="4" w:space="0" w:color="000000"/>
              <w:right w:val="single" w:sz="4" w:space="0" w:color="000000"/>
            </w:tcBorders>
            <w:shd w:val="clear" w:color="auto" w:fill="auto"/>
            <w:vAlign w:val="bottom"/>
          </w:tcPr>
          <w:p w14:paraId="080550EC"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adjusting the level of generality at which a decision variable or action is described to permit operationalization </w:t>
            </w:r>
          </w:p>
        </w:tc>
      </w:tr>
      <w:tr w:rsidR="00004AE3" w14:paraId="4FEBF95C"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06BA2161"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Disambiguate </w:t>
            </w:r>
          </w:p>
        </w:tc>
        <w:tc>
          <w:tcPr>
            <w:tcW w:w="9156" w:type="dxa"/>
            <w:tcBorders>
              <w:bottom w:val="single" w:sz="4" w:space="0" w:color="000000"/>
              <w:right w:val="single" w:sz="4" w:space="0" w:color="000000"/>
            </w:tcBorders>
            <w:shd w:val="clear" w:color="auto" w:fill="auto"/>
            <w:vAlign w:val="bottom"/>
          </w:tcPr>
          <w:p w14:paraId="2D9F361E"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establishing a single semantic interpretation for a recommendation statement </w:t>
            </w:r>
          </w:p>
        </w:tc>
      </w:tr>
      <w:tr w:rsidR="00004AE3" w14:paraId="6BC2AC63"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2ACA1DCF"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Build Executable Statements </w:t>
            </w:r>
          </w:p>
        </w:tc>
        <w:tc>
          <w:tcPr>
            <w:tcW w:w="9156" w:type="dxa"/>
            <w:tcBorders>
              <w:bottom w:val="single" w:sz="4" w:space="0" w:color="000000"/>
              <w:right w:val="single" w:sz="4" w:space="0" w:color="000000"/>
            </w:tcBorders>
            <w:shd w:val="clear" w:color="auto" w:fill="auto"/>
            <w:vAlign w:val="bottom"/>
          </w:tcPr>
          <w:p w14:paraId="26E64A72"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Arranging the atomized, de-abstracted, and disambiguated decision variables and actions into logical statements that can be translated readily into computable statements </w:t>
            </w:r>
          </w:p>
        </w:tc>
      </w:tr>
      <w:tr w:rsidR="00004AE3" w14:paraId="5264B5D9" w14:textId="77777777">
        <w:trPr>
          <w:trHeight w:val="520"/>
        </w:trPr>
        <w:tc>
          <w:tcPr>
            <w:tcW w:w="3799" w:type="dxa"/>
            <w:tcBorders>
              <w:left w:val="single" w:sz="4" w:space="0" w:color="000000"/>
              <w:bottom w:val="single" w:sz="4" w:space="0" w:color="000000"/>
              <w:right w:val="single" w:sz="4" w:space="0" w:color="000000"/>
            </w:tcBorders>
            <w:shd w:val="clear" w:color="auto" w:fill="auto"/>
            <w:vAlign w:val="bottom"/>
          </w:tcPr>
          <w:p w14:paraId="265C3BEA"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Verify Completeness </w:t>
            </w:r>
          </w:p>
        </w:tc>
        <w:tc>
          <w:tcPr>
            <w:tcW w:w="9156" w:type="dxa"/>
            <w:tcBorders>
              <w:bottom w:val="single" w:sz="4" w:space="0" w:color="000000"/>
              <w:right w:val="single" w:sz="4" w:space="0" w:color="000000"/>
            </w:tcBorders>
            <w:shd w:val="clear" w:color="auto" w:fill="auto"/>
            <w:vAlign w:val="bottom"/>
          </w:tcPr>
          <w:p w14:paraId="3B7353DA"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The process of making sure that each recommendation provides guidance in all situations that a clinician is likely to face </w:t>
            </w:r>
          </w:p>
        </w:tc>
      </w:tr>
      <w:tr w:rsidR="00004AE3" w14:paraId="0003AA58"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7CA135FF"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Add Explanation </w:t>
            </w:r>
          </w:p>
        </w:tc>
        <w:tc>
          <w:tcPr>
            <w:tcW w:w="9156" w:type="dxa"/>
            <w:tcBorders>
              <w:bottom w:val="single" w:sz="4" w:space="0" w:color="000000"/>
              <w:right w:val="single" w:sz="4" w:space="0" w:color="000000"/>
            </w:tcBorders>
            <w:shd w:val="clear" w:color="auto" w:fill="auto"/>
            <w:vAlign w:val="bottom"/>
          </w:tcPr>
          <w:p w14:paraId="4FA1749E"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A facility to describe the reasoning behind recommendations </w:t>
            </w:r>
          </w:p>
        </w:tc>
      </w:tr>
      <w:tr w:rsidR="00004AE3" w14:paraId="0BBA8730"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27AA9663"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Identify Origin </w:t>
            </w:r>
          </w:p>
        </w:tc>
        <w:tc>
          <w:tcPr>
            <w:tcW w:w="9156" w:type="dxa"/>
            <w:tcBorders>
              <w:bottom w:val="single" w:sz="4" w:space="0" w:color="000000"/>
              <w:right w:val="single" w:sz="4" w:space="0" w:color="000000"/>
            </w:tcBorders>
            <w:shd w:val="clear" w:color="auto" w:fill="auto"/>
            <w:vAlign w:val="bottom"/>
          </w:tcPr>
          <w:p w14:paraId="56581215"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 source or origin in the clinical environment for each decision variable </w:t>
            </w:r>
          </w:p>
        </w:tc>
      </w:tr>
      <w:tr w:rsidR="00004AE3" w14:paraId="4CAB51B4"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0DE0E640"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Insert Recommendations </w:t>
            </w:r>
          </w:p>
        </w:tc>
        <w:tc>
          <w:tcPr>
            <w:tcW w:w="9156" w:type="dxa"/>
            <w:tcBorders>
              <w:bottom w:val="single" w:sz="4" w:space="0" w:color="000000"/>
              <w:right w:val="single" w:sz="4" w:space="0" w:color="000000"/>
            </w:tcBorders>
            <w:shd w:val="clear" w:color="auto" w:fill="auto"/>
            <w:vAlign w:val="bottom"/>
          </w:tcPr>
          <w:p w14:paraId="07EDE65E"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Identifying an insertion point in the care process for each recommended action </w:t>
            </w:r>
          </w:p>
        </w:tc>
      </w:tr>
      <w:tr w:rsidR="00004AE3" w14:paraId="664E31B4"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636A5103"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Define Action Type </w:t>
            </w:r>
          </w:p>
        </w:tc>
        <w:tc>
          <w:tcPr>
            <w:tcW w:w="9156" w:type="dxa"/>
            <w:tcBorders>
              <w:bottom w:val="single" w:sz="4" w:space="0" w:color="000000"/>
              <w:right w:val="single" w:sz="4" w:space="0" w:color="000000"/>
            </w:tcBorders>
            <w:shd w:val="clear" w:color="auto" w:fill="auto"/>
            <w:vAlign w:val="bottom"/>
          </w:tcPr>
          <w:p w14:paraId="00B2CC24"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Categorizing guideline-recommended activities per predefined action types </w:t>
            </w:r>
          </w:p>
        </w:tc>
      </w:tr>
      <w:tr w:rsidR="00004AE3" w14:paraId="6C3116E1"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60D5C22C"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Define Associated Beneficial Services </w:t>
            </w:r>
          </w:p>
        </w:tc>
        <w:tc>
          <w:tcPr>
            <w:tcW w:w="9156" w:type="dxa"/>
            <w:tcBorders>
              <w:bottom w:val="single" w:sz="4" w:space="0" w:color="000000"/>
              <w:right w:val="single" w:sz="4" w:space="0" w:color="000000"/>
            </w:tcBorders>
            <w:shd w:val="clear" w:color="auto" w:fill="auto"/>
            <w:vAlign w:val="bottom"/>
          </w:tcPr>
          <w:p w14:paraId="0386F9FD"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Linking action types to associated beneficial services that offer design patterns for facilitating clinical care </w:t>
            </w:r>
          </w:p>
        </w:tc>
      </w:tr>
      <w:tr w:rsidR="00004AE3" w14:paraId="5B017B71" w14:textId="77777777">
        <w:trPr>
          <w:trHeight w:val="260"/>
        </w:trPr>
        <w:tc>
          <w:tcPr>
            <w:tcW w:w="3799" w:type="dxa"/>
            <w:tcBorders>
              <w:left w:val="single" w:sz="4" w:space="0" w:color="000000"/>
              <w:bottom w:val="single" w:sz="4" w:space="0" w:color="000000"/>
              <w:right w:val="single" w:sz="4" w:space="0" w:color="000000"/>
            </w:tcBorders>
            <w:shd w:val="clear" w:color="auto" w:fill="auto"/>
            <w:vAlign w:val="bottom"/>
          </w:tcPr>
          <w:p w14:paraId="3247A9E1"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Design User Interface </w:t>
            </w:r>
          </w:p>
        </w:tc>
        <w:tc>
          <w:tcPr>
            <w:tcW w:w="9156" w:type="dxa"/>
            <w:tcBorders>
              <w:bottom w:val="single" w:sz="4" w:space="0" w:color="000000"/>
              <w:right w:val="single" w:sz="4" w:space="0" w:color="000000"/>
            </w:tcBorders>
            <w:shd w:val="clear" w:color="auto" w:fill="auto"/>
            <w:vAlign w:val="bottom"/>
          </w:tcPr>
          <w:p w14:paraId="024CE533" w14:textId="77777777" w:rsidR="00004AE3" w:rsidRDefault="00AA75A6">
            <w:pPr>
              <w:spacing w:before="0" w:after="0"/>
              <w:rPr>
                <w:rFonts w:ascii="Arial" w:eastAsia="Arial" w:hAnsi="Arial" w:cs="Arial"/>
                <w:color w:val="000000"/>
                <w:sz w:val="20"/>
                <w:szCs w:val="20"/>
              </w:rPr>
            </w:pPr>
            <w:r>
              <w:rPr>
                <w:rFonts w:ascii="Arial" w:eastAsia="Arial" w:hAnsi="Arial" w:cs="Arial"/>
                <w:color w:val="000000"/>
                <w:sz w:val="20"/>
                <w:szCs w:val="20"/>
              </w:rPr>
              <w:t xml:space="preserve">Selecting and grouping user interface elements to best deliver CDS output </w:t>
            </w:r>
          </w:p>
        </w:tc>
      </w:tr>
    </w:tbl>
    <w:p w14:paraId="62E97472" w14:textId="77777777" w:rsidR="00004AE3" w:rsidRDefault="00AA75A6">
      <w:pPr>
        <w:spacing w:before="0" w:after="0"/>
        <w:rPr>
          <w:color w:val="000000"/>
        </w:rPr>
      </w:pPr>
      <w:r>
        <w:rPr>
          <w:color w:val="000000"/>
        </w:rPr>
        <w:t>or who receive an order (prescription) for statin therapy at any point during the measurement period.</w:t>
      </w:r>
    </w:p>
    <w:p w14:paraId="31251474" w14:textId="77777777" w:rsidR="00004AE3" w:rsidRDefault="00AA75A6">
      <w:pPr>
        <w:keepNext/>
        <w:pBdr>
          <w:top w:val="nil"/>
          <w:left w:val="nil"/>
          <w:bottom w:val="nil"/>
          <w:right w:val="nil"/>
          <w:between w:val="nil"/>
        </w:pBdr>
        <w:spacing w:before="300" w:after="100"/>
        <w:rPr>
          <w:rFonts w:ascii="Arial" w:eastAsia="Arial" w:hAnsi="Arial" w:cs="Arial"/>
          <w:b/>
          <w:color w:val="000000"/>
          <w:sz w:val="28"/>
          <w:szCs w:val="28"/>
        </w:rPr>
      </w:pPr>
      <w:bookmarkStart w:id="30" w:name="_heading=h.49x2ik5" w:colFirst="0" w:colLast="0"/>
      <w:bookmarkEnd w:id="30"/>
      <w:r>
        <w:rPr>
          <w:rFonts w:ascii="Arial" w:eastAsia="Arial" w:hAnsi="Arial" w:cs="Arial"/>
          <w:b/>
          <w:color w:val="000000"/>
          <w:sz w:val="28"/>
          <w:szCs w:val="28"/>
        </w:rPr>
        <w:t>Decision Logs</w:t>
      </w:r>
    </w:p>
    <w:p w14:paraId="768E7437" w14:textId="77777777" w:rsidR="00004AE3" w:rsidRDefault="00AA75A6">
      <w:pPr>
        <w:keepNext/>
        <w:pBdr>
          <w:top w:val="nil"/>
          <w:left w:val="nil"/>
          <w:bottom w:val="nil"/>
          <w:right w:val="nil"/>
          <w:between w:val="nil"/>
        </w:pBdr>
        <w:rPr>
          <w:rFonts w:ascii="Arial" w:eastAsia="Arial" w:hAnsi="Arial" w:cs="Arial"/>
          <w:b/>
          <w:color w:val="000000"/>
          <w:sz w:val="20"/>
          <w:szCs w:val="20"/>
        </w:rPr>
      </w:pPr>
      <w:bookmarkStart w:id="31" w:name="_heading=h.2p2csry" w:colFirst="0" w:colLast="0"/>
      <w:bookmarkEnd w:id="31"/>
      <w:r>
        <w:rPr>
          <w:rFonts w:ascii="Arial" w:eastAsia="Arial" w:hAnsi="Arial" w:cs="Arial"/>
          <w:b/>
          <w:color w:val="000000"/>
          <w:sz w:val="20"/>
          <w:szCs w:val="20"/>
        </w:rPr>
        <w:t>Table 6: Decisions Based on "Atomized" Components of the Population Statements</w:t>
      </w:r>
    </w:p>
    <w:tbl>
      <w:tblPr>
        <w:tblStyle w:val="a4"/>
        <w:tblW w:w="13085" w:type="dxa"/>
        <w:tblLayout w:type="fixed"/>
        <w:tblLook w:val="0400" w:firstRow="0" w:lastRow="0" w:firstColumn="0" w:lastColumn="0" w:noHBand="0" w:noVBand="1"/>
      </w:tblPr>
      <w:tblGrid>
        <w:gridCol w:w="1360"/>
        <w:gridCol w:w="2188"/>
        <w:gridCol w:w="9537"/>
      </w:tblGrid>
      <w:tr w:rsidR="00004AE3" w14:paraId="22AB1C94" w14:textId="77777777">
        <w:trPr>
          <w:trHeight w:val="540"/>
        </w:trPr>
        <w:tc>
          <w:tcPr>
            <w:tcW w:w="1360" w:type="dxa"/>
            <w:tcBorders>
              <w:top w:val="single" w:sz="4" w:space="0" w:color="000000"/>
              <w:left w:val="single" w:sz="4" w:space="0" w:color="000000"/>
              <w:bottom w:val="single" w:sz="4" w:space="0" w:color="000000"/>
              <w:right w:val="single" w:sz="4" w:space="0" w:color="000000"/>
            </w:tcBorders>
            <w:shd w:val="clear" w:color="auto" w:fill="BFBFBF"/>
          </w:tcPr>
          <w:p w14:paraId="520D4629" w14:textId="77777777" w:rsidR="00004AE3" w:rsidRDefault="00AA75A6">
            <w:pPr>
              <w:spacing w:before="0" w:after="0"/>
              <w:rPr>
                <w:rFonts w:ascii="Arial" w:eastAsia="Arial" w:hAnsi="Arial" w:cs="Arial"/>
                <w:b/>
                <w:sz w:val="20"/>
                <w:szCs w:val="20"/>
              </w:rPr>
            </w:pPr>
            <w:r>
              <w:rPr>
                <w:rFonts w:ascii="Arial" w:eastAsia="Arial" w:hAnsi="Arial" w:cs="Arial"/>
                <w:b/>
                <w:sz w:val="20"/>
                <w:szCs w:val="20"/>
              </w:rPr>
              <w:t>Presence in  Statement</w:t>
            </w:r>
          </w:p>
        </w:tc>
        <w:tc>
          <w:tcPr>
            <w:tcW w:w="2188" w:type="dxa"/>
            <w:tcBorders>
              <w:top w:val="single" w:sz="4" w:space="0" w:color="000000"/>
              <w:bottom w:val="single" w:sz="4" w:space="0" w:color="000000"/>
              <w:right w:val="single" w:sz="4" w:space="0" w:color="000000"/>
            </w:tcBorders>
            <w:shd w:val="clear" w:color="auto" w:fill="BFBFBF"/>
          </w:tcPr>
          <w:p w14:paraId="62496730" w14:textId="77777777" w:rsidR="00004AE3" w:rsidRDefault="00AA75A6">
            <w:pPr>
              <w:spacing w:before="0" w:after="0"/>
              <w:rPr>
                <w:rFonts w:ascii="Arial" w:eastAsia="Arial" w:hAnsi="Arial" w:cs="Arial"/>
                <w:b/>
                <w:sz w:val="20"/>
                <w:szCs w:val="20"/>
              </w:rPr>
            </w:pPr>
            <w:r>
              <w:rPr>
                <w:rFonts w:ascii="Arial" w:eastAsia="Arial" w:hAnsi="Arial" w:cs="Arial"/>
                <w:b/>
                <w:sz w:val="20"/>
                <w:szCs w:val="20"/>
              </w:rPr>
              <w:t>"Atomized" Word or Phrase</w:t>
            </w:r>
          </w:p>
        </w:tc>
        <w:tc>
          <w:tcPr>
            <w:tcW w:w="9537" w:type="dxa"/>
            <w:tcBorders>
              <w:top w:val="single" w:sz="4" w:space="0" w:color="000000"/>
              <w:bottom w:val="single" w:sz="4" w:space="0" w:color="000000"/>
              <w:right w:val="single" w:sz="4" w:space="0" w:color="000000"/>
            </w:tcBorders>
            <w:shd w:val="clear" w:color="auto" w:fill="BFBFBF"/>
          </w:tcPr>
          <w:p w14:paraId="3508838A" w14:textId="77777777" w:rsidR="00004AE3" w:rsidRDefault="00AA75A6">
            <w:pPr>
              <w:spacing w:before="0" w:after="0"/>
              <w:rPr>
                <w:rFonts w:ascii="Arial" w:eastAsia="Arial" w:hAnsi="Arial" w:cs="Arial"/>
                <w:b/>
                <w:sz w:val="20"/>
                <w:szCs w:val="20"/>
              </w:rPr>
            </w:pPr>
            <w:r>
              <w:rPr>
                <w:rFonts w:ascii="Arial" w:eastAsia="Arial" w:hAnsi="Arial" w:cs="Arial"/>
                <w:b/>
                <w:sz w:val="20"/>
                <w:szCs w:val="20"/>
              </w:rPr>
              <w:t xml:space="preserve">Interpretation or Rationale </w:t>
            </w:r>
          </w:p>
        </w:tc>
      </w:tr>
      <w:tr w:rsidR="00004AE3" w14:paraId="2703DB2D" w14:textId="77777777">
        <w:trPr>
          <w:trHeight w:val="1840"/>
        </w:trPr>
        <w:tc>
          <w:tcPr>
            <w:tcW w:w="1360" w:type="dxa"/>
            <w:tcBorders>
              <w:left w:val="single" w:sz="4" w:space="0" w:color="000000"/>
              <w:bottom w:val="single" w:sz="4" w:space="0" w:color="000000"/>
              <w:right w:val="single" w:sz="4" w:space="0" w:color="000000"/>
            </w:tcBorders>
            <w:shd w:val="clear" w:color="auto" w:fill="auto"/>
          </w:tcPr>
          <w:p w14:paraId="19740C45" w14:textId="77777777" w:rsidR="00004AE3" w:rsidRDefault="00004AE3">
            <w:pPr>
              <w:spacing w:before="0" w:after="0"/>
              <w:rPr>
                <w:rFonts w:ascii="Arial" w:eastAsia="Arial" w:hAnsi="Arial" w:cs="Arial"/>
                <w:sz w:val="20"/>
                <w:szCs w:val="20"/>
              </w:rPr>
            </w:pPr>
          </w:p>
        </w:tc>
        <w:tc>
          <w:tcPr>
            <w:tcW w:w="2188" w:type="dxa"/>
            <w:tcBorders>
              <w:bottom w:val="single" w:sz="4" w:space="0" w:color="000000"/>
              <w:right w:val="single" w:sz="4" w:space="0" w:color="000000"/>
            </w:tcBorders>
            <w:shd w:val="clear" w:color="auto" w:fill="auto"/>
          </w:tcPr>
          <w:p w14:paraId="140776E1" w14:textId="77777777" w:rsidR="00004AE3" w:rsidRDefault="00004AE3">
            <w:pPr>
              <w:spacing w:before="0" w:after="0"/>
              <w:rPr>
                <w:rFonts w:ascii="Arial" w:eastAsia="Arial" w:hAnsi="Arial" w:cs="Arial"/>
                <w:sz w:val="20"/>
                <w:szCs w:val="20"/>
              </w:rPr>
            </w:pPr>
          </w:p>
        </w:tc>
        <w:tc>
          <w:tcPr>
            <w:tcW w:w="9537" w:type="dxa"/>
            <w:tcBorders>
              <w:bottom w:val="single" w:sz="4" w:space="0" w:color="000000"/>
              <w:right w:val="single" w:sz="4" w:space="0" w:color="000000"/>
            </w:tcBorders>
            <w:shd w:val="clear" w:color="auto" w:fill="auto"/>
          </w:tcPr>
          <w:p w14:paraId="7D6857F9" w14:textId="77777777" w:rsidR="00004AE3" w:rsidRDefault="00004AE3">
            <w:pPr>
              <w:spacing w:before="0" w:after="0"/>
              <w:rPr>
                <w:rFonts w:ascii="Arial" w:eastAsia="Arial" w:hAnsi="Arial" w:cs="Arial"/>
                <w:sz w:val="20"/>
                <w:szCs w:val="20"/>
              </w:rPr>
            </w:pPr>
          </w:p>
        </w:tc>
      </w:tr>
      <w:tr w:rsidR="00004AE3" w14:paraId="010BEDB3" w14:textId="77777777">
        <w:trPr>
          <w:trHeight w:val="1320"/>
        </w:trPr>
        <w:tc>
          <w:tcPr>
            <w:tcW w:w="1360" w:type="dxa"/>
            <w:tcBorders>
              <w:left w:val="single" w:sz="4" w:space="0" w:color="000000"/>
              <w:bottom w:val="single" w:sz="4" w:space="0" w:color="000000"/>
              <w:right w:val="single" w:sz="4" w:space="0" w:color="000000"/>
            </w:tcBorders>
            <w:shd w:val="clear" w:color="auto" w:fill="auto"/>
          </w:tcPr>
          <w:p w14:paraId="59FC2097" w14:textId="77777777" w:rsidR="00004AE3" w:rsidRDefault="00004AE3">
            <w:pPr>
              <w:spacing w:before="0" w:after="0"/>
              <w:rPr>
                <w:rFonts w:ascii="Arial" w:eastAsia="Arial" w:hAnsi="Arial" w:cs="Arial"/>
                <w:sz w:val="20"/>
                <w:szCs w:val="20"/>
              </w:rPr>
            </w:pPr>
          </w:p>
        </w:tc>
        <w:tc>
          <w:tcPr>
            <w:tcW w:w="2188" w:type="dxa"/>
            <w:tcBorders>
              <w:bottom w:val="single" w:sz="4" w:space="0" w:color="000000"/>
              <w:right w:val="single" w:sz="4" w:space="0" w:color="000000"/>
            </w:tcBorders>
            <w:shd w:val="clear" w:color="auto" w:fill="auto"/>
          </w:tcPr>
          <w:p w14:paraId="387B397E" w14:textId="77777777" w:rsidR="00004AE3" w:rsidRDefault="00004AE3">
            <w:pPr>
              <w:spacing w:before="0" w:after="0"/>
              <w:rPr>
                <w:rFonts w:ascii="Arial" w:eastAsia="Arial" w:hAnsi="Arial" w:cs="Arial"/>
                <w:sz w:val="20"/>
                <w:szCs w:val="20"/>
              </w:rPr>
            </w:pPr>
          </w:p>
        </w:tc>
        <w:tc>
          <w:tcPr>
            <w:tcW w:w="9537" w:type="dxa"/>
            <w:tcBorders>
              <w:bottom w:val="single" w:sz="4" w:space="0" w:color="000000"/>
              <w:right w:val="single" w:sz="4" w:space="0" w:color="000000"/>
            </w:tcBorders>
            <w:shd w:val="clear" w:color="auto" w:fill="auto"/>
          </w:tcPr>
          <w:p w14:paraId="6A595B2E" w14:textId="77777777" w:rsidR="00004AE3" w:rsidRDefault="00004AE3">
            <w:pPr>
              <w:spacing w:before="0" w:after="0"/>
              <w:rPr>
                <w:rFonts w:ascii="Arial" w:eastAsia="Arial" w:hAnsi="Arial" w:cs="Arial"/>
                <w:sz w:val="20"/>
                <w:szCs w:val="20"/>
              </w:rPr>
            </w:pPr>
          </w:p>
        </w:tc>
      </w:tr>
    </w:tbl>
    <w:p w14:paraId="41AA946A" w14:textId="77777777" w:rsidR="00004AE3" w:rsidRDefault="00004AE3">
      <w:pPr>
        <w:spacing w:before="0" w:after="0"/>
      </w:pPr>
    </w:p>
    <w:p w14:paraId="480C7CAD" w14:textId="77777777" w:rsidR="00004AE3" w:rsidRDefault="00AA75A6">
      <w:pPr>
        <w:spacing w:before="0" w:after="0"/>
      </w:pPr>
      <w:r>
        <w:t>Several decisions were made outside the scope of the atomized words and phrases in the recommendation statements. These additional decisions were made based on the best available clinical knowledge and were encountered at various stages in the artifact development process.</w:t>
      </w:r>
    </w:p>
    <w:p w14:paraId="2217D9CF" w14:textId="77777777" w:rsidR="00004AE3" w:rsidRDefault="00004AE3"/>
    <w:p w14:paraId="080B8F54" w14:textId="77777777" w:rsidR="00004AE3" w:rsidRDefault="00AA75A6">
      <w:pPr>
        <w:keepNext/>
        <w:pBdr>
          <w:top w:val="nil"/>
          <w:left w:val="nil"/>
          <w:bottom w:val="nil"/>
          <w:right w:val="nil"/>
          <w:between w:val="nil"/>
        </w:pBdr>
        <w:rPr>
          <w:rFonts w:ascii="Arial" w:eastAsia="Arial" w:hAnsi="Arial" w:cs="Arial"/>
          <w:b/>
          <w:color w:val="000000"/>
          <w:sz w:val="20"/>
          <w:szCs w:val="20"/>
        </w:rPr>
      </w:pPr>
      <w:bookmarkStart w:id="32" w:name="_heading=h.147n2zr" w:colFirst="0" w:colLast="0"/>
      <w:bookmarkEnd w:id="32"/>
      <w:r>
        <w:rPr>
          <w:rFonts w:ascii="Arial" w:eastAsia="Arial" w:hAnsi="Arial" w:cs="Arial"/>
          <w:b/>
          <w:color w:val="000000"/>
          <w:sz w:val="20"/>
          <w:szCs w:val="20"/>
        </w:rPr>
        <w:t>Table 7: Additional Decisions</w:t>
      </w:r>
    </w:p>
    <w:tbl>
      <w:tblPr>
        <w:tblStyle w:val="a5"/>
        <w:tblW w:w="13135" w:type="dxa"/>
        <w:tblLayout w:type="fixed"/>
        <w:tblLook w:val="0400" w:firstRow="0" w:lastRow="0" w:firstColumn="0" w:lastColumn="0" w:noHBand="0" w:noVBand="1"/>
      </w:tblPr>
      <w:tblGrid>
        <w:gridCol w:w="2599"/>
        <w:gridCol w:w="2660"/>
        <w:gridCol w:w="7876"/>
      </w:tblGrid>
      <w:tr w:rsidR="00004AE3" w14:paraId="2DB6160E" w14:textId="77777777">
        <w:trPr>
          <w:trHeight w:val="320"/>
        </w:trPr>
        <w:tc>
          <w:tcPr>
            <w:tcW w:w="2599" w:type="dxa"/>
            <w:tcBorders>
              <w:top w:val="single" w:sz="4" w:space="0" w:color="000000"/>
              <w:left w:val="single" w:sz="4" w:space="0" w:color="000000"/>
              <w:bottom w:val="single" w:sz="4" w:space="0" w:color="000000"/>
              <w:right w:val="single" w:sz="4" w:space="0" w:color="000000"/>
            </w:tcBorders>
            <w:shd w:val="clear" w:color="auto" w:fill="BFBFBF"/>
          </w:tcPr>
          <w:p w14:paraId="3E8634AD"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Decision Category</w:t>
            </w:r>
          </w:p>
        </w:tc>
        <w:tc>
          <w:tcPr>
            <w:tcW w:w="2660" w:type="dxa"/>
            <w:tcBorders>
              <w:top w:val="single" w:sz="4" w:space="0" w:color="000000"/>
              <w:bottom w:val="single" w:sz="4" w:space="0" w:color="000000"/>
              <w:right w:val="single" w:sz="4" w:space="0" w:color="000000"/>
            </w:tcBorders>
            <w:shd w:val="clear" w:color="auto" w:fill="BFBFBF"/>
          </w:tcPr>
          <w:p w14:paraId="3D9F9C4D"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Concept</w:t>
            </w:r>
          </w:p>
        </w:tc>
        <w:tc>
          <w:tcPr>
            <w:tcW w:w="7876" w:type="dxa"/>
            <w:tcBorders>
              <w:top w:val="single" w:sz="4" w:space="0" w:color="000000"/>
              <w:bottom w:val="single" w:sz="4" w:space="0" w:color="000000"/>
              <w:right w:val="single" w:sz="4" w:space="0" w:color="000000"/>
            </w:tcBorders>
            <w:shd w:val="clear" w:color="auto" w:fill="BFBFBF"/>
          </w:tcPr>
          <w:p w14:paraId="2F3C0C71"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 xml:space="preserve">Rationale </w:t>
            </w:r>
          </w:p>
        </w:tc>
      </w:tr>
      <w:tr w:rsidR="00004AE3" w14:paraId="08F995C8" w14:textId="77777777">
        <w:trPr>
          <w:trHeight w:val="1560"/>
        </w:trPr>
        <w:tc>
          <w:tcPr>
            <w:tcW w:w="2599" w:type="dxa"/>
            <w:tcBorders>
              <w:left w:val="single" w:sz="4" w:space="0" w:color="000000"/>
              <w:bottom w:val="single" w:sz="4" w:space="0" w:color="000000"/>
              <w:right w:val="single" w:sz="4" w:space="0" w:color="000000"/>
            </w:tcBorders>
            <w:shd w:val="clear" w:color="auto" w:fill="auto"/>
          </w:tcPr>
          <w:p w14:paraId="3D78EA1B" w14:textId="77777777" w:rsidR="00004AE3" w:rsidRDefault="00AA75A6">
            <w:pPr>
              <w:spacing w:before="0" w:after="0"/>
              <w:rPr>
                <w:rFonts w:ascii="Arial" w:eastAsia="Arial" w:hAnsi="Arial" w:cs="Arial"/>
                <w:sz w:val="20"/>
                <w:szCs w:val="20"/>
              </w:rPr>
            </w:pPr>
            <w:r>
              <w:rPr>
                <w:rFonts w:ascii="Arial" w:eastAsia="Arial" w:hAnsi="Arial" w:cs="Arial"/>
                <w:sz w:val="20"/>
                <w:szCs w:val="20"/>
              </w:rPr>
              <w:t>Select guidelines</w:t>
            </w:r>
          </w:p>
        </w:tc>
        <w:tc>
          <w:tcPr>
            <w:tcW w:w="2660" w:type="dxa"/>
            <w:tcBorders>
              <w:bottom w:val="single" w:sz="4" w:space="0" w:color="000000"/>
              <w:right w:val="single" w:sz="4" w:space="0" w:color="000000"/>
            </w:tcBorders>
            <w:shd w:val="clear" w:color="auto" w:fill="auto"/>
          </w:tcPr>
          <w:p w14:paraId="62B9F189"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12740BE9" w14:textId="77777777" w:rsidR="00004AE3" w:rsidRDefault="00004AE3">
            <w:pPr>
              <w:spacing w:before="0" w:after="0"/>
              <w:rPr>
                <w:rFonts w:ascii="Arial" w:eastAsia="Arial" w:hAnsi="Arial" w:cs="Arial"/>
                <w:sz w:val="20"/>
                <w:szCs w:val="20"/>
              </w:rPr>
            </w:pPr>
          </w:p>
        </w:tc>
      </w:tr>
      <w:tr w:rsidR="00004AE3" w14:paraId="74229BD8" w14:textId="77777777">
        <w:trPr>
          <w:trHeight w:val="800"/>
        </w:trPr>
        <w:tc>
          <w:tcPr>
            <w:tcW w:w="2599" w:type="dxa"/>
            <w:tcBorders>
              <w:left w:val="single" w:sz="4" w:space="0" w:color="000000"/>
              <w:bottom w:val="single" w:sz="4" w:space="0" w:color="000000"/>
              <w:right w:val="single" w:sz="4" w:space="0" w:color="000000"/>
            </w:tcBorders>
            <w:shd w:val="clear" w:color="auto" w:fill="auto"/>
          </w:tcPr>
          <w:p w14:paraId="69F3CC9B" w14:textId="77777777" w:rsidR="00004AE3" w:rsidRDefault="00AA75A6">
            <w:pPr>
              <w:spacing w:before="0" w:after="0"/>
              <w:rPr>
                <w:rFonts w:ascii="Arial" w:eastAsia="Arial" w:hAnsi="Arial" w:cs="Arial"/>
                <w:sz w:val="20"/>
                <w:szCs w:val="20"/>
              </w:rPr>
            </w:pPr>
            <w:r>
              <w:rPr>
                <w:rFonts w:ascii="Arial" w:eastAsia="Arial" w:hAnsi="Arial" w:cs="Arial"/>
                <w:sz w:val="20"/>
                <w:szCs w:val="20"/>
              </w:rPr>
              <w:t>Disambiguate</w:t>
            </w:r>
          </w:p>
        </w:tc>
        <w:tc>
          <w:tcPr>
            <w:tcW w:w="2660" w:type="dxa"/>
            <w:tcBorders>
              <w:bottom w:val="single" w:sz="4" w:space="0" w:color="000000"/>
              <w:right w:val="single" w:sz="4" w:space="0" w:color="000000"/>
            </w:tcBorders>
            <w:shd w:val="clear" w:color="auto" w:fill="auto"/>
          </w:tcPr>
          <w:p w14:paraId="48FD43EE"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3723D156" w14:textId="77777777" w:rsidR="00004AE3" w:rsidRDefault="00004AE3">
            <w:pPr>
              <w:spacing w:before="0" w:after="0"/>
              <w:rPr>
                <w:rFonts w:ascii="Arial" w:eastAsia="Arial" w:hAnsi="Arial" w:cs="Arial"/>
                <w:sz w:val="20"/>
                <w:szCs w:val="20"/>
              </w:rPr>
            </w:pPr>
          </w:p>
        </w:tc>
      </w:tr>
      <w:tr w:rsidR="00004AE3" w14:paraId="3CD2A49B" w14:textId="77777777">
        <w:trPr>
          <w:trHeight w:val="1580"/>
        </w:trPr>
        <w:tc>
          <w:tcPr>
            <w:tcW w:w="2599" w:type="dxa"/>
            <w:tcBorders>
              <w:left w:val="single" w:sz="4" w:space="0" w:color="000000"/>
              <w:bottom w:val="single" w:sz="4" w:space="0" w:color="000000"/>
              <w:right w:val="single" w:sz="4" w:space="0" w:color="000000"/>
            </w:tcBorders>
            <w:shd w:val="clear" w:color="auto" w:fill="auto"/>
          </w:tcPr>
          <w:p w14:paraId="6EC191DF" w14:textId="77777777" w:rsidR="00004AE3" w:rsidRDefault="00AA75A6">
            <w:pPr>
              <w:spacing w:before="0" w:after="0"/>
              <w:rPr>
                <w:rFonts w:ascii="Arial" w:eastAsia="Arial" w:hAnsi="Arial" w:cs="Arial"/>
                <w:sz w:val="20"/>
                <w:szCs w:val="20"/>
              </w:rPr>
            </w:pPr>
            <w:r>
              <w:rPr>
                <w:rFonts w:ascii="Arial" w:eastAsia="Arial" w:hAnsi="Arial" w:cs="Arial"/>
                <w:sz w:val="20"/>
                <w:szCs w:val="20"/>
              </w:rPr>
              <w:lastRenderedPageBreak/>
              <w:t>Implementation guidance</w:t>
            </w:r>
          </w:p>
        </w:tc>
        <w:tc>
          <w:tcPr>
            <w:tcW w:w="2660" w:type="dxa"/>
            <w:tcBorders>
              <w:bottom w:val="single" w:sz="4" w:space="0" w:color="000000"/>
              <w:right w:val="single" w:sz="4" w:space="0" w:color="000000"/>
            </w:tcBorders>
            <w:shd w:val="clear" w:color="auto" w:fill="auto"/>
          </w:tcPr>
          <w:p w14:paraId="13060124"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68666F8F" w14:textId="77777777" w:rsidR="00004AE3" w:rsidRDefault="00004AE3">
            <w:pPr>
              <w:spacing w:before="0" w:after="0"/>
              <w:rPr>
                <w:rFonts w:ascii="Arial" w:eastAsia="Arial" w:hAnsi="Arial" w:cs="Arial"/>
                <w:sz w:val="20"/>
                <w:szCs w:val="20"/>
              </w:rPr>
            </w:pPr>
          </w:p>
        </w:tc>
      </w:tr>
      <w:tr w:rsidR="00004AE3" w14:paraId="171A2907" w14:textId="77777777">
        <w:trPr>
          <w:trHeight w:val="800"/>
        </w:trPr>
        <w:tc>
          <w:tcPr>
            <w:tcW w:w="2599" w:type="dxa"/>
            <w:tcBorders>
              <w:left w:val="single" w:sz="4" w:space="0" w:color="000000"/>
              <w:bottom w:val="single" w:sz="4" w:space="0" w:color="000000"/>
              <w:right w:val="single" w:sz="4" w:space="0" w:color="000000"/>
            </w:tcBorders>
            <w:shd w:val="clear" w:color="auto" w:fill="auto"/>
          </w:tcPr>
          <w:p w14:paraId="7801981C" w14:textId="77777777" w:rsidR="00004AE3" w:rsidRDefault="00AA75A6">
            <w:pPr>
              <w:spacing w:before="0" w:after="0"/>
              <w:rPr>
                <w:rFonts w:ascii="Arial" w:eastAsia="Arial" w:hAnsi="Arial" w:cs="Arial"/>
                <w:sz w:val="20"/>
                <w:szCs w:val="20"/>
              </w:rPr>
            </w:pPr>
            <w:r>
              <w:rPr>
                <w:rFonts w:ascii="Arial" w:eastAsia="Arial" w:hAnsi="Arial" w:cs="Arial"/>
                <w:sz w:val="20"/>
                <w:szCs w:val="20"/>
              </w:rPr>
              <w:t>Deabstract</w:t>
            </w:r>
          </w:p>
        </w:tc>
        <w:tc>
          <w:tcPr>
            <w:tcW w:w="2660" w:type="dxa"/>
            <w:tcBorders>
              <w:bottom w:val="single" w:sz="4" w:space="0" w:color="000000"/>
              <w:right w:val="single" w:sz="4" w:space="0" w:color="000000"/>
            </w:tcBorders>
            <w:shd w:val="clear" w:color="auto" w:fill="auto"/>
          </w:tcPr>
          <w:p w14:paraId="70356726"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4BC31C1C" w14:textId="77777777" w:rsidR="00004AE3" w:rsidRDefault="00004AE3">
            <w:pPr>
              <w:spacing w:before="0" w:after="0"/>
              <w:rPr>
                <w:rFonts w:ascii="Arial" w:eastAsia="Arial" w:hAnsi="Arial" w:cs="Arial"/>
                <w:sz w:val="20"/>
                <w:szCs w:val="20"/>
              </w:rPr>
            </w:pPr>
          </w:p>
        </w:tc>
      </w:tr>
      <w:tr w:rsidR="00004AE3" w14:paraId="06FF041A" w14:textId="77777777">
        <w:trPr>
          <w:trHeight w:val="320"/>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A4B6A0" w14:textId="77777777" w:rsidR="00004AE3" w:rsidRDefault="00AA75A6">
            <w:pPr>
              <w:spacing w:before="0" w:after="0"/>
              <w:rPr>
                <w:rFonts w:ascii="Arial" w:eastAsia="Arial" w:hAnsi="Arial" w:cs="Arial"/>
                <w:b/>
                <w:color w:val="000000"/>
                <w:sz w:val="20"/>
                <w:szCs w:val="20"/>
              </w:rPr>
            </w:pPr>
            <w:r>
              <w:rPr>
                <w:rFonts w:ascii="Arial" w:eastAsia="Arial" w:hAnsi="Arial" w:cs="Arial"/>
                <w:b/>
                <w:color w:val="000000"/>
                <w:sz w:val="20"/>
                <w:szCs w:val="20"/>
              </w:rPr>
              <w:t>Logic constraints to ensure clinical relevance:</w:t>
            </w:r>
          </w:p>
        </w:tc>
      </w:tr>
      <w:tr w:rsidR="00004AE3" w14:paraId="103DE009" w14:textId="77777777">
        <w:trPr>
          <w:trHeight w:val="1060"/>
        </w:trPr>
        <w:tc>
          <w:tcPr>
            <w:tcW w:w="2599" w:type="dxa"/>
            <w:tcBorders>
              <w:left w:val="single" w:sz="4" w:space="0" w:color="000000"/>
              <w:bottom w:val="single" w:sz="4" w:space="0" w:color="000000"/>
              <w:right w:val="single" w:sz="4" w:space="0" w:color="000000"/>
            </w:tcBorders>
            <w:shd w:val="clear" w:color="auto" w:fill="auto"/>
          </w:tcPr>
          <w:p w14:paraId="004D031C" w14:textId="77777777" w:rsidR="00004AE3" w:rsidRDefault="00AA75A6">
            <w:pPr>
              <w:spacing w:before="0" w:after="0"/>
              <w:rPr>
                <w:rFonts w:ascii="Arial" w:eastAsia="Arial" w:hAnsi="Arial" w:cs="Arial"/>
                <w:sz w:val="20"/>
                <w:szCs w:val="20"/>
              </w:rPr>
            </w:pPr>
            <w:r>
              <w:rPr>
                <w:rFonts w:ascii="Arial" w:eastAsia="Arial" w:hAnsi="Arial" w:cs="Arial"/>
                <w:sz w:val="20"/>
                <w:szCs w:val="20"/>
              </w:rPr>
              <w:t>Add explanation</w:t>
            </w:r>
          </w:p>
        </w:tc>
        <w:tc>
          <w:tcPr>
            <w:tcW w:w="2660" w:type="dxa"/>
            <w:tcBorders>
              <w:bottom w:val="single" w:sz="4" w:space="0" w:color="000000"/>
              <w:right w:val="single" w:sz="4" w:space="0" w:color="000000"/>
            </w:tcBorders>
            <w:shd w:val="clear" w:color="auto" w:fill="auto"/>
          </w:tcPr>
          <w:p w14:paraId="257CFC5A"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46E9BE7F" w14:textId="77777777" w:rsidR="00004AE3" w:rsidRDefault="00004AE3">
            <w:pPr>
              <w:spacing w:before="0" w:after="0"/>
              <w:rPr>
                <w:rFonts w:ascii="Arial" w:eastAsia="Arial" w:hAnsi="Arial" w:cs="Arial"/>
                <w:sz w:val="20"/>
                <w:szCs w:val="20"/>
              </w:rPr>
            </w:pPr>
          </w:p>
        </w:tc>
      </w:tr>
      <w:tr w:rsidR="00004AE3" w14:paraId="78DB1AAF" w14:textId="77777777">
        <w:trPr>
          <w:trHeight w:val="1320"/>
        </w:trPr>
        <w:tc>
          <w:tcPr>
            <w:tcW w:w="2599" w:type="dxa"/>
            <w:tcBorders>
              <w:left w:val="single" w:sz="4" w:space="0" w:color="000000"/>
              <w:bottom w:val="single" w:sz="4" w:space="0" w:color="000000"/>
              <w:right w:val="single" w:sz="4" w:space="0" w:color="000000"/>
            </w:tcBorders>
            <w:shd w:val="clear" w:color="auto" w:fill="auto"/>
          </w:tcPr>
          <w:p w14:paraId="30C88134" w14:textId="77777777" w:rsidR="00004AE3" w:rsidRDefault="00AA75A6">
            <w:pPr>
              <w:spacing w:before="0" w:after="0"/>
              <w:rPr>
                <w:rFonts w:ascii="Arial" w:eastAsia="Arial" w:hAnsi="Arial" w:cs="Arial"/>
                <w:sz w:val="20"/>
                <w:szCs w:val="20"/>
              </w:rPr>
            </w:pPr>
            <w:r>
              <w:rPr>
                <w:rFonts w:ascii="Arial" w:eastAsia="Arial" w:hAnsi="Arial" w:cs="Arial"/>
                <w:sz w:val="20"/>
                <w:szCs w:val="20"/>
              </w:rPr>
              <w:t>Add explanation</w:t>
            </w:r>
          </w:p>
        </w:tc>
        <w:tc>
          <w:tcPr>
            <w:tcW w:w="2660" w:type="dxa"/>
            <w:tcBorders>
              <w:bottom w:val="single" w:sz="4" w:space="0" w:color="000000"/>
              <w:right w:val="single" w:sz="4" w:space="0" w:color="000000"/>
            </w:tcBorders>
            <w:shd w:val="clear" w:color="auto" w:fill="auto"/>
          </w:tcPr>
          <w:p w14:paraId="171169C1"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1212DDFE" w14:textId="77777777" w:rsidR="00004AE3" w:rsidRDefault="00004AE3">
            <w:pPr>
              <w:spacing w:before="0" w:after="0"/>
              <w:rPr>
                <w:rFonts w:ascii="Arial" w:eastAsia="Arial" w:hAnsi="Arial" w:cs="Arial"/>
                <w:sz w:val="20"/>
                <w:szCs w:val="20"/>
              </w:rPr>
            </w:pPr>
          </w:p>
        </w:tc>
      </w:tr>
      <w:tr w:rsidR="00004AE3" w14:paraId="36277215" w14:textId="77777777">
        <w:trPr>
          <w:trHeight w:val="540"/>
        </w:trPr>
        <w:tc>
          <w:tcPr>
            <w:tcW w:w="2599" w:type="dxa"/>
            <w:tcBorders>
              <w:left w:val="single" w:sz="4" w:space="0" w:color="000000"/>
              <w:bottom w:val="single" w:sz="4" w:space="0" w:color="000000"/>
              <w:right w:val="single" w:sz="4" w:space="0" w:color="000000"/>
            </w:tcBorders>
            <w:shd w:val="clear" w:color="auto" w:fill="auto"/>
          </w:tcPr>
          <w:p w14:paraId="089B9B5F" w14:textId="77777777" w:rsidR="00004AE3" w:rsidRDefault="00AA75A6">
            <w:pPr>
              <w:spacing w:before="0" w:after="0"/>
              <w:rPr>
                <w:rFonts w:ascii="Arial" w:eastAsia="Arial" w:hAnsi="Arial" w:cs="Arial"/>
                <w:sz w:val="20"/>
                <w:szCs w:val="20"/>
              </w:rPr>
            </w:pPr>
            <w:r>
              <w:rPr>
                <w:rFonts w:ascii="Arial" w:eastAsia="Arial" w:hAnsi="Arial" w:cs="Arial"/>
                <w:sz w:val="20"/>
                <w:szCs w:val="20"/>
              </w:rPr>
              <w:t>Deabstract</w:t>
            </w:r>
          </w:p>
        </w:tc>
        <w:tc>
          <w:tcPr>
            <w:tcW w:w="2660" w:type="dxa"/>
            <w:tcBorders>
              <w:bottom w:val="single" w:sz="4" w:space="0" w:color="000000"/>
              <w:right w:val="single" w:sz="4" w:space="0" w:color="000000"/>
            </w:tcBorders>
            <w:shd w:val="clear" w:color="auto" w:fill="auto"/>
          </w:tcPr>
          <w:p w14:paraId="54A43F49" w14:textId="77777777" w:rsidR="00004AE3" w:rsidRDefault="00004AE3">
            <w:pPr>
              <w:spacing w:before="0" w:after="0"/>
              <w:rPr>
                <w:rFonts w:ascii="Arial" w:eastAsia="Arial" w:hAnsi="Arial" w:cs="Arial"/>
                <w:sz w:val="20"/>
                <w:szCs w:val="20"/>
              </w:rPr>
            </w:pPr>
          </w:p>
        </w:tc>
        <w:tc>
          <w:tcPr>
            <w:tcW w:w="7876" w:type="dxa"/>
            <w:tcBorders>
              <w:bottom w:val="single" w:sz="4" w:space="0" w:color="000000"/>
              <w:right w:val="single" w:sz="4" w:space="0" w:color="000000"/>
            </w:tcBorders>
            <w:shd w:val="clear" w:color="auto" w:fill="auto"/>
          </w:tcPr>
          <w:p w14:paraId="3C1CC111" w14:textId="77777777" w:rsidR="00004AE3" w:rsidRDefault="00004AE3">
            <w:pPr>
              <w:spacing w:before="0" w:after="0"/>
              <w:rPr>
                <w:rFonts w:ascii="Arial" w:eastAsia="Arial" w:hAnsi="Arial" w:cs="Arial"/>
                <w:sz w:val="20"/>
                <w:szCs w:val="20"/>
              </w:rPr>
            </w:pPr>
          </w:p>
        </w:tc>
      </w:tr>
    </w:tbl>
    <w:p w14:paraId="22505F5B" w14:textId="77777777" w:rsidR="00004AE3" w:rsidRDefault="00004AE3"/>
    <w:p w14:paraId="0066E3BB" w14:textId="77777777" w:rsidR="00004AE3" w:rsidRDefault="00004AE3">
      <w:pPr>
        <w:sectPr w:rsidR="00004AE3" w:rsidSect="00D64269">
          <w:headerReference w:type="default" r:id="rId50"/>
          <w:footerReference w:type="default" r:id="rId51"/>
          <w:headerReference w:type="first" r:id="rId52"/>
          <w:footerReference w:type="first" r:id="rId53"/>
          <w:pgSz w:w="15840" w:h="12240" w:orient="landscape"/>
          <w:pgMar w:top="1440" w:right="1440" w:bottom="1440" w:left="1440" w:header="504" w:footer="504" w:gutter="0"/>
          <w:cols w:space="720" w:equalWidth="0">
            <w:col w:w="9360"/>
          </w:cols>
          <w:titlePg/>
          <w:docGrid w:linePitch="326"/>
        </w:sectPr>
      </w:pPr>
    </w:p>
    <w:p w14:paraId="063B1CDB" w14:textId="77777777" w:rsidR="00004AE3" w:rsidRDefault="00AA75A6">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bookmarkStart w:id="35" w:name="_heading=h.3o7alnk" w:colFirst="0" w:colLast="0"/>
      <w:bookmarkEnd w:id="35"/>
      <w:r>
        <w:rPr>
          <w:rFonts w:ascii="Arial" w:eastAsia="Arial" w:hAnsi="Arial" w:cs="Arial"/>
          <w:b/>
          <w:color w:val="000000"/>
          <w:sz w:val="32"/>
          <w:szCs w:val="32"/>
        </w:rPr>
        <w:lastRenderedPageBreak/>
        <w:t>Appendix C: Acronyms</w:t>
      </w:r>
    </w:p>
    <w:tbl>
      <w:tblPr>
        <w:tblStyle w:val="a6"/>
        <w:tblW w:w="9360" w:type="dxa"/>
        <w:tblInd w:w="108" w:type="dxa"/>
        <w:tblLayout w:type="fixed"/>
        <w:tblLook w:val="0000" w:firstRow="0" w:lastRow="0" w:firstColumn="0" w:lastColumn="0" w:noHBand="0" w:noVBand="0"/>
      </w:tblPr>
      <w:tblGrid>
        <w:gridCol w:w="1304"/>
        <w:gridCol w:w="8056"/>
      </w:tblGrid>
      <w:tr w:rsidR="00004AE3" w14:paraId="2B0BCDEB" w14:textId="77777777">
        <w:trPr>
          <w:trHeight w:val="340"/>
        </w:trPr>
        <w:tc>
          <w:tcPr>
            <w:tcW w:w="1304" w:type="dxa"/>
            <w:shd w:val="clear" w:color="auto" w:fill="auto"/>
          </w:tcPr>
          <w:p w14:paraId="24CEBF93" w14:textId="77777777" w:rsidR="00004AE3" w:rsidRDefault="00AA75A6">
            <w:pPr>
              <w:pBdr>
                <w:top w:val="nil"/>
                <w:left w:val="nil"/>
                <w:bottom w:val="nil"/>
                <w:right w:val="nil"/>
                <w:between w:val="nil"/>
              </w:pBdr>
              <w:spacing w:before="60" w:after="60"/>
              <w:rPr>
                <w:b/>
                <w:color w:val="000000"/>
              </w:rPr>
            </w:pPr>
            <w:r>
              <w:rPr>
                <w:b/>
                <w:color w:val="000000"/>
              </w:rPr>
              <w:t>ACA</w:t>
            </w:r>
          </w:p>
        </w:tc>
        <w:tc>
          <w:tcPr>
            <w:tcW w:w="8056" w:type="dxa"/>
            <w:shd w:val="clear" w:color="auto" w:fill="auto"/>
          </w:tcPr>
          <w:p w14:paraId="2A982D3A" w14:textId="77777777" w:rsidR="00004AE3" w:rsidRDefault="00AA75A6">
            <w:pPr>
              <w:pBdr>
                <w:top w:val="nil"/>
                <w:left w:val="nil"/>
                <w:bottom w:val="nil"/>
                <w:right w:val="nil"/>
                <w:between w:val="nil"/>
              </w:pBdr>
              <w:spacing w:before="60" w:after="60"/>
              <w:rPr>
                <w:color w:val="000000"/>
              </w:rPr>
            </w:pPr>
            <w:r>
              <w:rPr>
                <w:color w:val="000000"/>
              </w:rPr>
              <w:t>Affordable Care Act</w:t>
            </w:r>
          </w:p>
        </w:tc>
      </w:tr>
      <w:tr w:rsidR="00004AE3" w14:paraId="3483C3AD" w14:textId="77777777">
        <w:trPr>
          <w:trHeight w:val="340"/>
        </w:trPr>
        <w:tc>
          <w:tcPr>
            <w:tcW w:w="1304" w:type="dxa"/>
            <w:shd w:val="clear" w:color="auto" w:fill="auto"/>
          </w:tcPr>
          <w:p w14:paraId="7EE78945" w14:textId="77777777" w:rsidR="00004AE3" w:rsidRDefault="00AA75A6">
            <w:pPr>
              <w:pBdr>
                <w:top w:val="nil"/>
                <w:left w:val="nil"/>
                <w:bottom w:val="nil"/>
                <w:right w:val="nil"/>
                <w:between w:val="nil"/>
              </w:pBdr>
              <w:spacing w:before="60" w:after="60"/>
              <w:rPr>
                <w:b/>
                <w:color w:val="000000"/>
              </w:rPr>
            </w:pPr>
            <w:r>
              <w:rPr>
                <w:b/>
                <w:color w:val="000000"/>
              </w:rPr>
              <w:t>AHRQ</w:t>
            </w:r>
          </w:p>
        </w:tc>
        <w:tc>
          <w:tcPr>
            <w:tcW w:w="8056" w:type="dxa"/>
            <w:shd w:val="clear" w:color="auto" w:fill="auto"/>
          </w:tcPr>
          <w:p w14:paraId="138A1CE9" w14:textId="77777777" w:rsidR="00004AE3" w:rsidRDefault="00AA75A6">
            <w:pPr>
              <w:pBdr>
                <w:top w:val="nil"/>
                <w:left w:val="nil"/>
                <w:bottom w:val="nil"/>
                <w:right w:val="nil"/>
                <w:between w:val="nil"/>
              </w:pBdr>
              <w:spacing w:before="60" w:after="60"/>
              <w:rPr>
                <w:color w:val="000000"/>
              </w:rPr>
            </w:pPr>
            <w:bookmarkStart w:id="36" w:name="_heading=h.23ckvvd" w:colFirst="0" w:colLast="0"/>
            <w:bookmarkEnd w:id="36"/>
            <w:r>
              <w:rPr>
                <w:color w:val="000000"/>
              </w:rPr>
              <w:t>Agency for Healthcare Research and Quality</w:t>
            </w:r>
          </w:p>
        </w:tc>
      </w:tr>
      <w:tr w:rsidR="00004AE3" w14:paraId="429274C5" w14:textId="77777777">
        <w:trPr>
          <w:trHeight w:val="340"/>
        </w:trPr>
        <w:tc>
          <w:tcPr>
            <w:tcW w:w="1304" w:type="dxa"/>
            <w:shd w:val="clear" w:color="auto" w:fill="auto"/>
          </w:tcPr>
          <w:p w14:paraId="3DF6A40E" w14:textId="77777777" w:rsidR="00004AE3" w:rsidRDefault="00AA75A6">
            <w:pPr>
              <w:pBdr>
                <w:top w:val="nil"/>
                <w:left w:val="nil"/>
                <w:bottom w:val="nil"/>
                <w:right w:val="nil"/>
                <w:between w:val="nil"/>
              </w:pBdr>
              <w:spacing w:before="60" w:after="60"/>
              <w:rPr>
                <w:b/>
                <w:color w:val="000000"/>
              </w:rPr>
            </w:pPr>
            <w:r>
              <w:rPr>
                <w:b/>
                <w:color w:val="000000"/>
              </w:rPr>
              <w:t>CAMH</w:t>
            </w:r>
          </w:p>
        </w:tc>
        <w:tc>
          <w:tcPr>
            <w:tcW w:w="8056" w:type="dxa"/>
            <w:shd w:val="clear" w:color="auto" w:fill="auto"/>
          </w:tcPr>
          <w:p w14:paraId="3A008F9E" w14:textId="77777777" w:rsidR="00004AE3" w:rsidRDefault="00AA75A6">
            <w:pPr>
              <w:pBdr>
                <w:top w:val="nil"/>
                <w:left w:val="nil"/>
                <w:bottom w:val="nil"/>
                <w:right w:val="nil"/>
                <w:between w:val="nil"/>
              </w:pBdr>
              <w:spacing w:before="60" w:after="60"/>
              <w:rPr>
                <w:color w:val="000000"/>
              </w:rPr>
            </w:pPr>
            <w:r>
              <w:rPr>
                <w:color w:val="000000"/>
              </w:rPr>
              <w:t>CMS Alliance to Modernize Healthcare</w:t>
            </w:r>
          </w:p>
        </w:tc>
      </w:tr>
      <w:tr w:rsidR="00004AE3" w14:paraId="3E0D67FD" w14:textId="77777777">
        <w:trPr>
          <w:trHeight w:val="340"/>
        </w:trPr>
        <w:tc>
          <w:tcPr>
            <w:tcW w:w="1304" w:type="dxa"/>
            <w:shd w:val="clear" w:color="auto" w:fill="auto"/>
          </w:tcPr>
          <w:p w14:paraId="07967147" w14:textId="77777777" w:rsidR="00004AE3" w:rsidRDefault="00AA75A6">
            <w:pPr>
              <w:pBdr>
                <w:top w:val="nil"/>
                <w:left w:val="nil"/>
                <w:bottom w:val="nil"/>
                <w:right w:val="nil"/>
                <w:between w:val="nil"/>
              </w:pBdr>
              <w:spacing w:before="60" w:after="60"/>
              <w:rPr>
                <w:b/>
                <w:color w:val="000000"/>
              </w:rPr>
            </w:pPr>
            <w:r>
              <w:rPr>
                <w:b/>
                <w:color w:val="000000"/>
              </w:rPr>
              <w:t>CDS</w:t>
            </w:r>
          </w:p>
        </w:tc>
        <w:tc>
          <w:tcPr>
            <w:tcW w:w="8056" w:type="dxa"/>
            <w:shd w:val="clear" w:color="auto" w:fill="auto"/>
          </w:tcPr>
          <w:p w14:paraId="31845DC0" w14:textId="77777777" w:rsidR="00004AE3" w:rsidRDefault="00AA75A6">
            <w:pPr>
              <w:pBdr>
                <w:top w:val="nil"/>
                <w:left w:val="nil"/>
                <w:bottom w:val="nil"/>
                <w:right w:val="nil"/>
                <w:between w:val="nil"/>
              </w:pBdr>
              <w:spacing w:before="60" w:after="60"/>
              <w:rPr>
                <w:color w:val="000000"/>
              </w:rPr>
            </w:pPr>
            <w:r>
              <w:rPr>
                <w:color w:val="000000"/>
              </w:rPr>
              <w:t>Clinical Decision Support</w:t>
            </w:r>
          </w:p>
        </w:tc>
      </w:tr>
      <w:tr w:rsidR="00004AE3" w14:paraId="3438BCEE" w14:textId="77777777">
        <w:trPr>
          <w:trHeight w:val="340"/>
        </w:trPr>
        <w:tc>
          <w:tcPr>
            <w:tcW w:w="1304" w:type="dxa"/>
            <w:shd w:val="clear" w:color="auto" w:fill="auto"/>
          </w:tcPr>
          <w:p w14:paraId="235B3B90" w14:textId="77777777" w:rsidR="00004AE3" w:rsidRDefault="00AA75A6">
            <w:pPr>
              <w:pBdr>
                <w:top w:val="nil"/>
                <w:left w:val="nil"/>
                <w:bottom w:val="nil"/>
                <w:right w:val="nil"/>
                <w:between w:val="nil"/>
              </w:pBdr>
              <w:spacing w:before="60" w:after="60"/>
              <w:rPr>
                <w:b/>
                <w:color w:val="000000"/>
              </w:rPr>
            </w:pPr>
            <w:r>
              <w:rPr>
                <w:b/>
                <w:color w:val="000000"/>
              </w:rPr>
              <w:t>CMS</w:t>
            </w:r>
          </w:p>
        </w:tc>
        <w:tc>
          <w:tcPr>
            <w:tcW w:w="8056" w:type="dxa"/>
            <w:shd w:val="clear" w:color="auto" w:fill="auto"/>
          </w:tcPr>
          <w:p w14:paraId="7E08D74E" w14:textId="77777777" w:rsidR="00004AE3" w:rsidRDefault="00AA75A6">
            <w:pPr>
              <w:pBdr>
                <w:top w:val="nil"/>
                <w:left w:val="nil"/>
                <w:bottom w:val="nil"/>
                <w:right w:val="nil"/>
                <w:between w:val="nil"/>
              </w:pBdr>
              <w:spacing w:before="60" w:after="60"/>
              <w:rPr>
                <w:color w:val="000000"/>
              </w:rPr>
            </w:pPr>
            <w:r>
              <w:rPr>
                <w:color w:val="000000"/>
              </w:rPr>
              <w:t>Centers for Medicare &amp; Medicaid Services</w:t>
            </w:r>
          </w:p>
        </w:tc>
      </w:tr>
      <w:tr w:rsidR="00004AE3" w14:paraId="71E9EDE7" w14:textId="77777777">
        <w:trPr>
          <w:trHeight w:val="340"/>
        </w:trPr>
        <w:tc>
          <w:tcPr>
            <w:tcW w:w="1304" w:type="dxa"/>
            <w:shd w:val="clear" w:color="auto" w:fill="auto"/>
          </w:tcPr>
          <w:p w14:paraId="7FB4B805" w14:textId="77777777" w:rsidR="00004AE3" w:rsidRDefault="00AA75A6">
            <w:pPr>
              <w:pBdr>
                <w:top w:val="nil"/>
                <w:left w:val="nil"/>
                <w:bottom w:val="nil"/>
                <w:right w:val="nil"/>
                <w:between w:val="nil"/>
              </w:pBdr>
              <w:spacing w:before="60" w:after="60"/>
              <w:rPr>
                <w:b/>
                <w:color w:val="000000"/>
              </w:rPr>
            </w:pPr>
            <w:r>
              <w:rPr>
                <w:b/>
                <w:color w:val="000000"/>
              </w:rPr>
              <w:t>COTS</w:t>
            </w:r>
          </w:p>
        </w:tc>
        <w:tc>
          <w:tcPr>
            <w:tcW w:w="8056" w:type="dxa"/>
            <w:shd w:val="clear" w:color="auto" w:fill="auto"/>
          </w:tcPr>
          <w:p w14:paraId="5304958C" w14:textId="77777777" w:rsidR="00004AE3" w:rsidRDefault="00AA75A6">
            <w:pPr>
              <w:pBdr>
                <w:top w:val="nil"/>
                <w:left w:val="nil"/>
                <w:bottom w:val="nil"/>
                <w:right w:val="nil"/>
                <w:between w:val="nil"/>
              </w:pBdr>
              <w:spacing w:before="60" w:after="60"/>
              <w:rPr>
                <w:color w:val="000000"/>
              </w:rPr>
            </w:pPr>
            <w:r>
              <w:rPr>
                <w:color w:val="000000"/>
              </w:rPr>
              <w:t>Commercial Off-the-Shelf</w:t>
            </w:r>
          </w:p>
        </w:tc>
      </w:tr>
      <w:tr w:rsidR="00004AE3" w14:paraId="67410ABF" w14:textId="77777777">
        <w:trPr>
          <w:trHeight w:val="340"/>
        </w:trPr>
        <w:tc>
          <w:tcPr>
            <w:tcW w:w="1304" w:type="dxa"/>
            <w:shd w:val="clear" w:color="auto" w:fill="auto"/>
          </w:tcPr>
          <w:p w14:paraId="3658B326" w14:textId="77777777" w:rsidR="00004AE3" w:rsidRDefault="00AA75A6">
            <w:pPr>
              <w:pBdr>
                <w:top w:val="nil"/>
                <w:left w:val="nil"/>
                <w:bottom w:val="nil"/>
                <w:right w:val="nil"/>
                <w:between w:val="nil"/>
              </w:pBdr>
              <w:spacing w:before="60" w:after="60"/>
              <w:rPr>
                <w:b/>
                <w:color w:val="000000"/>
              </w:rPr>
            </w:pPr>
            <w:r>
              <w:rPr>
                <w:b/>
                <w:color w:val="000000"/>
              </w:rPr>
              <w:t>CQL</w:t>
            </w:r>
          </w:p>
        </w:tc>
        <w:tc>
          <w:tcPr>
            <w:tcW w:w="8056" w:type="dxa"/>
            <w:shd w:val="clear" w:color="auto" w:fill="auto"/>
          </w:tcPr>
          <w:p w14:paraId="03DD98F1" w14:textId="77777777" w:rsidR="00004AE3" w:rsidRDefault="00AA75A6">
            <w:pPr>
              <w:pBdr>
                <w:top w:val="nil"/>
                <w:left w:val="nil"/>
                <w:bottom w:val="nil"/>
                <w:right w:val="nil"/>
                <w:between w:val="nil"/>
              </w:pBdr>
              <w:spacing w:before="60" w:after="60"/>
              <w:rPr>
                <w:color w:val="000000"/>
              </w:rPr>
            </w:pPr>
            <w:r>
              <w:rPr>
                <w:color w:val="000000"/>
              </w:rPr>
              <w:t>Clinical Quality Language</w:t>
            </w:r>
          </w:p>
        </w:tc>
      </w:tr>
      <w:tr w:rsidR="00004AE3" w14:paraId="3A201567" w14:textId="77777777">
        <w:trPr>
          <w:trHeight w:val="340"/>
        </w:trPr>
        <w:tc>
          <w:tcPr>
            <w:tcW w:w="1304" w:type="dxa"/>
            <w:shd w:val="clear" w:color="auto" w:fill="auto"/>
          </w:tcPr>
          <w:p w14:paraId="4546403E" w14:textId="77777777" w:rsidR="00004AE3" w:rsidRDefault="00AA75A6">
            <w:pPr>
              <w:pBdr>
                <w:top w:val="nil"/>
                <w:left w:val="nil"/>
                <w:bottom w:val="nil"/>
                <w:right w:val="nil"/>
                <w:between w:val="nil"/>
              </w:pBdr>
              <w:spacing w:before="60" w:after="60"/>
              <w:rPr>
                <w:b/>
                <w:color w:val="000000"/>
              </w:rPr>
            </w:pPr>
            <w:r>
              <w:rPr>
                <w:b/>
                <w:color w:val="000000"/>
              </w:rPr>
              <w:t>CQM</w:t>
            </w:r>
          </w:p>
        </w:tc>
        <w:tc>
          <w:tcPr>
            <w:tcW w:w="8056" w:type="dxa"/>
            <w:shd w:val="clear" w:color="auto" w:fill="auto"/>
          </w:tcPr>
          <w:p w14:paraId="331B51DB" w14:textId="77777777" w:rsidR="00004AE3" w:rsidRDefault="00AA75A6">
            <w:pPr>
              <w:pBdr>
                <w:top w:val="nil"/>
                <w:left w:val="nil"/>
                <w:bottom w:val="nil"/>
                <w:right w:val="nil"/>
                <w:between w:val="nil"/>
              </w:pBdr>
              <w:spacing w:before="60" w:after="60"/>
              <w:rPr>
                <w:color w:val="000000"/>
              </w:rPr>
            </w:pPr>
            <w:r>
              <w:rPr>
                <w:color w:val="000000"/>
              </w:rPr>
              <w:t>Clinical Quality Measurement</w:t>
            </w:r>
          </w:p>
        </w:tc>
      </w:tr>
      <w:tr w:rsidR="00004AE3" w14:paraId="6C02DD8E" w14:textId="77777777">
        <w:trPr>
          <w:trHeight w:val="340"/>
        </w:trPr>
        <w:tc>
          <w:tcPr>
            <w:tcW w:w="1304" w:type="dxa"/>
            <w:shd w:val="clear" w:color="auto" w:fill="auto"/>
          </w:tcPr>
          <w:p w14:paraId="7BE1D7E5" w14:textId="77777777" w:rsidR="00004AE3" w:rsidRDefault="00AA75A6">
            <w:pPr>
              <w:pBdr>
                <w:top w:val="nil"/>
                <w:left w:val="nil"/>
                <w:bottom w:val="nil"/>
                <w:right w:val="nil"/>
                <w:between w:val="nil"/>
              </w:pBdr>
              <w:spacing w:before="60" w:after="60"/>
              <w:rPr>
                <w:b/>
                <w:color w:val="000000"/>
              </w:rPr>
            </w:pPr>
            <w:r>
              <w:rPr>
                <w:b/>
                <w:color w:val="000000"/>
              </w:rPr>
              <w:t>CVD</w:t>
            </w:r>
          </w:p>
        </w:tc>
        <w:tc>
          <w:tcPr>
            <w:tcW w:w="8056" w:type="dxa"/>
            <w:shd w:val="clear" w:color="auto" w:fill="auto"/>
          </w:tcPr>
          <w:p w14:paraId="22247756" w14:textId="77777777" w:rsidR="00004AE3" w:rsidRDefault="00AA75A6">
            <w:pPr>
              <w:pBdr>
                <w:top w:val="nil"/>
                <w:left w:val="nil"/>
                <w:bottom w:val="nil"/>
                <w:right w:val="nil"/>
                <w:between w:val="nil"/>
              </w:pBdr>
              <w:spacing w:before="60" w:after="60"/>
              <w:rPr>
                <w:color w:val="000000"/>
              </w:rPr>
            </w:pPr>
            <w:r>
              <w:rPr>
                <w:color w:val="000000"/>
              </w:rPr>
              <w:t>Cardiovascular Disease</w:t>
            </w:r>
          </w:p>
        </w:tc>
      </w:tr>
      <w:tr w:rsidR="00004AE3" w14:paraId="29D4943C" w14:textId="77777777">
        <w:trPr>
          <w:trHeight w:val="340"/>
        </w:trPr>
        <w:tc>
          <w:tcPr>
            <w:tcW w:w="1304" w:type="dxa"/>
            <w:shd w:val="clear" w:color="auto" w:fill="auto"/>
          </w:tcPr>
          <w:p w14:paraId="44FA7D15" w14:textId="77777777" w:rsidR="00004AE3" w:rsidRDefault="00AA75A6">
            <w:pPr>
              <w:pBdr>
                <w:top w:val="nil"/>
                <w:left w:val="nil"/>
                <w:bottom w:val="nil"/>
                <w:right w:val="nil"/>
                <w:between w:val="nil"/>
              </w:pBdr>
              <w:spacing w:before="60" w:after="60"/>
              <w:rPr>
                <w:b/>
                <w:color w:val="000000"/>
              </w:rPr>
            </w:pPr>
            <w:r>
              <w:rPr>
                <w:b/>
                <w:color w:val="000000"/>
              </w:rPr>
              <w:t>eCQI</w:t>
            </w:r>
          </w:p>
        </w:tc>
        <w:tc>
          <w:tcPr>
            <w:tcW w:w="8056" w:type="dxa"/>
            <w:shd w:val="clear" w:color="auto" w:fill="auto"/>
          </w:tcPr>
          <w:p w14:paraId="589D6911" w14:textId="77777777" w:rsidR="00004AE3" w:rsidRDefault="00AA75A6">
            <w:pPr>
              <w:pBdr>
                <w:top w:val="nil"/>
                <w:left w:val="nil"/>
                <w:bottom w:val="nil"/>
                <w:right w:val="nil"/>
                <w:between w:val="nil"/>
              </w:pBdr>
              <w:spacing w:before="60" w:after="60"/>
              <w:rPr>
                <w:color w:val="000000"/>
              </w:rPr>
            </w:pPr>
            <w:r>
              <w:rPr>
                <w:color w:val="000000"/>
              </w:rPr>
              <w:t>Electronic Clinical Quality Information</w:t>
            </w:r>
          </w:p>
        </w:tc>
      </w:tr>
      <w:tr w:rsidR="00004AE3" w14:paraId="0DE59B9F" w14:textId="77777777">
        <w:trPr>
          <w:trHeight w:val="340"/>
        </w:trPr>
        <w:tc>
          <w:tcPr>
            <w:tcW w:w="1304" w:type="dxa"/>
            <w:shd w:val="clear" w:color="auto" w:fill="auto"/>
          </w:tcPr>
          <w:p w14:paraId="5B477A37" w14:textId="77777777" w:rsidR="00004AE3" w:rsidRDefault="00AA75A6">
            <w:pPr>
              <w:pBdr>
                <w:top w:val="nil"/>
                <w:left w:val="nil"/>
                <w:bottom w:val="nil"/>
                <w:right w:val="nil"/>
                <w:between w:val="nil"/>
              </w:pBdr>
              <w:spacing w:before="60" w:after="60"/>
              <w:rPr>
                <w:b/>
                <w:color w:val="000000"/>
              </w:rPr>
            </w:pPr>
            <w:r>
              <w:rPr>
                <w:b/>
                <w:color w:val="000000"/>
              </w:rPr>
              <w:t>EHR</w:t>
            </w:r>
          </w:p>
        </w:tc>
        <w:tc>
          <w:tcPr>
            <w:tcW w:w="8056" w:type="dxa"/>
            <w:shd w:val="clear" w:color="auto" w:fill="auto"/>
          </w:tcPr>
          <w:p w14:paraId="60288790" w14:textId="77777777" w:rsidR="00004AE3" w:rsidRDefault="00AA75A6">
            <w:pPr>
              <w:pBdr>
                <w:top w:val="nil"/>
                <w:left w:val="nil"/>
                <w:bottom w:val="nil"/>
                <w:right w:val="nil"/>
                <w:between w:val="nil"/>
              </w:pBdr>
              <w:spacing w:before="60" w:after="60"/>
              <w:rPr>
                <w:color w:val="000000"/>
              </w:rPr>
            </w:pPr>
            <w:r>
              <w:rPr>
                <w:color w:val="000000"/>
              </w:rPr>
              <w:t>Electronic Health Record</w:t>
            </w:r>
          </w:p>
        </w:tc>
      </w:tr>
      <w:tr w:rsidR="00004AE3" w14:paraId="7E942EA2" w14:textId="77777777">
        <w:trPr>
          <w:trHeight w:val="340"/>
        </w:trPr>
        <w:tc>
          <w:tcPr>
            <w:tcW w:w="1304" w:type="dxa"/>
            <w:shd w:val="clear" w:color="auto" w:fill="auto"/>
          </w:tcPr>
          <w:p w14:paraId="3C8FE35A" w14:textId="77777777" w:rsidR="00004AE3" w:rsidRDefault="00AA75A6">
            <w:pPr>
              <w:pBdr>
                <w:top w:val="nil"/>
                <w:left w:val="nil"/>
                <w:bottom w:val="nil"/>
                <w:right w:val="nil"/>
                <w:between w:val="nil"/>
              </w:pBdr>
              <w:spacing w:before="60" w:after="60"/>
              <w:rPr>
                <w:b/>
                <w:color w:val="000000"/>
              </w:rPr>
            </w:pPr>
            <w:r>
              <w:rPr>
                <w:b/>
                <w:color w:val="000000"/>
              </w:rPr>
              <w:t>FAR</w:t>
            </w:r>
          </w:p>
        </w:tc>
        <w:tc>
          <w:tcPr>
            <w:tcW w:w="8056" w:type="dxa"/>
            <w:shd w:val="clear" w:color="auto" w:fill="auto"/>
          </w:tcPr>
          <w:p w14:paraId="7711BD32" w14:textId="77777777" w:rsidR="00004AE3" w:rsidRDefault="00AA75A6">
            <w:pPr>
              <w:pBdr>
                <w:top w:val="nil"/>
                <w:left w:val="nil"/>
                <w:bottom w:val="nil"/>
                <w:right w:val="nil"/>
                <w:between w:val="nil"/>
              </w:pBdr>
              <w:spacing w:before="60" w:after="60"/>
              <w:rPr>
                <w:color w:val="000000"/>
              </w:rPr>
            </w:pPr>
            <w:r>
              <w:rPr>
                <w:color w:val="000000"/>
              </w:rPr>
              <w:t>Federal Acquisition Regulation</w:t>
            </w:r>
          </w:p>
        </w:tc>
      </w:tr>
      <w:tr w:rsidR="00004AE3" w14:paraId="283AB3FA" w14:textId="77777777">
        <w:trPr>
          <w:trHeight w:val="340"/>
        </w:trPr>
        <w:tc>
          <w:tcPr>
            <w:tcW w:w="1304" w:type="dxa"/>
            <w:shd w:val="clear" w:color="auto" w:fill="auto"/>
          </w:tcPr>
          <w:p w14:paraId="15CDE647" w14:textId="77777777" w:rsidR="00004AE3" w:rsidRDefault="00AA75A6">
            <w:pPr>
              <w:pBdr>
                <w:top w:val="nil"/>
                <w:left w:val="nil"/>
                <w:bottom w:val="nil"/>
                <w:right w:val="nil"/>
                <w:between w:val="nil"/>
              </w:pBdr>
              <w:spacing w:before="60" w:after="60"/>
              <w:rPr>
                <w:b/>
                <w:color w:val="000000"/>
              </w:rPr>
            </w:pPr>
            <w:r>
              <w:rPr>
                <w:b/>
                <w:color w:val="000000"/>
              </w:rPr>
              <w:t>FFRDC</w:t>
            </w:r>
          </w:p>
        </w:tc>
        <w:tc>
          <w:tcPr>
            <w:tcW w:w="8056" w:type="dxa"/>
            <w:shd w:val="clear" w:color="auto" w:fill="auto"/>
          </w:tcPr>
          <w:p w14:paraId="1707FB27" w14:textId="77777777" w:rsidR="00004AE3" w:rsidRDefault="00AA75A6">
            <w:pPr>
              <w:pBdr>
                <w:top w:val="nil"/>
                <w:left w:val="nil"/>
                <w:bottom w:val="nil"/>
                <w:right w:val="nil"/>
                <w:between w:val="nil"/>
              </w:pBdr>
              <w:spacing w:before="60" w:after="60"/>
              <w:rPr>
                <w:color w:val="000000"/>
              </w:rPr>
            </w:pPr>
            <w:r>
              <w:rPr>
                <w:color w:val="000000"/>
              </w:rPr>
              <w:t>Federally Funded Research and Development Center</w:t>
            </w:r>
          </w:p>
        </w:tc>
      </w:tr>
      <w:tr w:rsidR="00004AE3" w14:paraId="6D9AE6C6" w14:textId="77777777">
        <w:trPr>
          <w:trHeight w:val="340"/>
        </w:trPr>
        <w:tc>
          <w:tcPr>
            <w:tcW w:w="1304" w:type="dxa"/>
            <w:shd w:val="clear" w:color="auto" w:fill="auto"/>
          </w:tcPr>
          <w:p w14:paraId="6F17491F" w14:textId="77777777" w:rsidR="00004AE3" w:rsidRDefault="00AA75A6">
            <w:pPr>
              <w:pBdr>
                <w:top w:val="nil"/>
                <w:left w:val="nil"/>
                <w:bottom w:val="nil"/>
                <w:right w:val="nil"/>
                <w:between w:val="nil"/>
              </w:pBdr>
              <w:spacing w:before="60" w:after="60"/>
              <w:rPr>
                <w:b/>
                <w:color w:val="000000"/>
              </w:rPr>
            </w:pPr>
            <w:r>
              <w:rPr>
                <w:b/>
                <w:color w:val="000000"/>
              </w:rPr>
              <w:t>FHIR</w:t>
            </w:r>
          </w:p>
        </w:tc>
        <w:tc>
          <w:tcPr>
            <w:tcW w:w="8056" w:type="dxa"/>
            <w:shd w:val="clear" w:color="auto" w:fill="auto"/>
          </w:tcPr>
          <w:p w14:paraId="6B5D1927" w14:textId="77777777" w:rsidR="00004AE3" w:rsidRDefault="00AA75A6">
            <w:pPr>
              <w:pBdr>
                <w:top w:val="nil"/>
                <w:left w:val="nil"/>
                <w:bottom w:val="nil"/>
                <w:right w:val="nil"/>
                <w:between w:val="nil"/>
              </w:pBdr>
              <w:spacing w:before="60" w:after="60"/>
              <w:rPr>
                <w:color w:val="000000"/>
              </w:rPr>
            </w:pPr>
            <w:r>
              <w:rPr>
                <w:color w:val="000000"/>
              </w:rPr>
              <w:t>Fast Healthcare Interoperability Resources</w:t>
            </w:r>
          </w:p>
        </w:tc>
      </w:tr>
      <w:tr w:rsidR="00004AE3" w14:paraId="6900CE5F" w14:textId="77777777">
        <w:trPr>
          <w:trHeight w:val="340"/>
        </w:trPr>
        <w:tc>
          <w:tcPr>
            <w:tcW w:w="1304" w:type="dxa"/>
            <w:shd w:val="clear" w:color="auto" w:fill="auto"/>
          </w:tcPr>
          <w:p w14:paraId="6A9432A3" w14:textId="77777777" w:rsidR="00004AE3" w:rsidRDefault="00AA75A6">
            <w:pPr>
              <w:pBdr>
                <w:top w:val="nil"/>
                <w:left w:val="nil"/>
                <w:bottom w:val="nil"/>
                <w:right w:val="nil"/>
                <w:between w:val="nil"/>
              </w:pBdr>
              <w:spacing w:before="60" w:after="60"/>
              <w:rPr>
                <w:b/>
                <w:color w:val="000000"/>
              </w:rPr>
            </w:pPr>
            <w:r>
              <w:rPr>
                <w:b/>
                <w:color w:val="000000"/>
              </w:rPr>
              <w:t>HDL</w:t>
            </w:r>
          </w:p>
        </w:tc>
        <w:tc>
          <w:tcPr>
            <w:tcW w:w="8056" w:type="dxa"/>
            <w:shd w:val="clear" w:color="auto" w:fill="auto"/>
          </w:tcPr>
          <w:p w14:paraId="52678908" w14:textId="77777777" w:rsidR="00004AE3" w:rsidRDefault="00AA75A6">
            <w:pPr>
              <w:pBdr>
                <w:top w:val="nil"/>
                <w:left w:val="nil"/>
                <w:bottom w:val="nil"/>
                <w:right w:val="nil"/>
                <w:between w:val="nil"/>
              </w:pBdr>
              <w:spacing w:before="60" w:after="60"/>
              <w:rPr>
                <w:color w:val="000000"/>
              </w:rPr>
            </w:pPr>
            <w:r>
              <w:rPr>
                <w:color w:val="000000"/>
              </w:rPr>
              <w:t>High-Density Lipoprotein</w:t>
            </w:r>
          </w:p>
        </w:tc>
      </w:tr>
      <w:tr w:rsidR="00004AE3" w14:paraId="47117335" w14:textId="77777777">
        <w:trPr>
          <w:trHeight w:val="340"/>
        </w:trPr>
        <w:tc>
          <w:tcPr>
            <w:tcW w:w="1304" w:type="dxa"/>
            <w:shd w:val="clear" w:color="auto" w:fill="auto"/>
          </w:tcPr>
          <w:p w14:paraId="5EFA03E0" w14:textId="77777777" w:rsidR="00004AE3" w:rsidRDefault="00AA75A6">
            <w:pPr>
              <w:pBdr>
                <w:top w:val="nil"/>
                <w:left w:val="nil"/>
                <w:bottom w:val="nil"/>
                <w:right w:val="nil"/>
                <w:between w:val="nil"/>
              </w:pBdr>
              <w:spacing w:before="60" w:after="60"/>
              <w:rPr>
                <w:b/>
                <w:color w:val="000000"/>
              </w:rPr>
            </w:pPr>
            <w:r>
              <w:rPr>
                <w:b/>
                <w:color w:val="000000"/>
              </w:rPr>
              <w:t>HHS</w:t>
            </w:r>
          </w:p>
        </w:tc>
        <w:tc>
          <w:tcPr>
            <w:tcW w:w="8056" w:type="dxa"/>
            <w:shd w:val="clear" w:color="auto" w:fill="auto"/>
          </w:tcPr>
          <w:p w14:paraId="3873A1C2" w14:textId="77777777" w:rsidR="00004AE3" w:rsidRDefault="00AA75A6">
            <w:pPr>
              <w:pBdr>
                <w:top w:val="nil"/>
                <w:left w:val="nil"/>
                <w:bottom w:val="nil"/>
                <w:right w:val="nil"/>
                <w:between w:val="nil"/>
              </w:pBdr>
              <w:spacing w:before="60" w:after="60"/>
              <w:rPr>
                <w:color w:val="000000"/>
              </w:rPr>
            </w:pPr>
            <w:r>
              <w:rPr>
                <w:color w:val="000000"/>
              </w:rPr>
              <w:t>Department of Health and Human Services</w:t>
            </w:r>
          </w:p>
        </w:tc>
      </w:tr>
      <w:tr w:rsidR="00004AE3" w14:paraId="20E7ECF3" w14:textId="77777777">
        <w:trPr>
          <w:trHeight w:val="340"/>
        </w:trPr>
        <w:tc>
          <w:tcPr>
            <w:tcW w:w="1304" w:type="dxa"/>
            <w:shd w:val="clear" w:color="auto" w:fill="auto"/>
          </w:tcPr>
          <w:p w14:paraId="037D8908" w14:textId="77777777" w:rsidR="00004AE3" w:rsidRDefault="00AA75A6">
            <w:pPr>
              <w:pBdr>
                <w:top w:val="nil"/>
                <w:left w:val="nil"/>
                <w:bottom w:val="nil"/>
                <w:right w:val="nil"/>
                <w:between w:val="nil"/>
              </w:pBdr>
              <w:spacing w:before="60" w:after="60"/>
              <w:rPr>
                <w:b/>
                <w:color w:val="000000"/>
              </w:rPr>
            </w:pPr>
            <w:r>
              <w:rPr>
                <w:b/>
                <w:color w:val="000000"/>
              </w:rPr>
              <w:t>HIT</w:t>
            </w:r>
          </w:p>
        </w:tc>
        <w:tc>
          <w:tcPr>
            <w:tcW w:w="8056" w:type="dxa"/>
            <w:shd w:val="clear" w:color="auto" w:fill="auto"/>
          </w:tcPr>
          <w:p w14:paraId="01FEA40B" w14:textId="77777777" w:rsidR="00004AE3" w:rsidRDefault="00AA75A6">
            <w:pPr>
              <w:pBdr>
                <w:top w:val="nil"/>
                <w:left w:val="nil"/>
                <w:bottom w:val="nil"/>
                <w:right w:val="nil"/>
                <w:between w:val="nil"/>
              </w:pBdr>
              <w:spacing w:before="60" w:after="60"/>
              <w:rPr>
                <w:color w:val="000000"/>
              </w:rPr>
            </w:pPr>
            <w:r>
              <w:rPr>
                <w:color w:val="000000"/>
              </w:rPr>
              <w:t>Health Information Technology</w:t>
            </w:r>
          </w:p>
        </w:tc>
      </w:tr>
      <w:tr w:rsidR="00004AE3" w14:paraId="7F52ADEA" w14:textId="77777777">
        <w:trPr>
          <w:trHeight w:val="340"/>
        </w:trPr>
        <w:tc>
          <w:tcPr>
            <w:tcW w:w="1304" w:type="dxa"/>
            <w:shd w:val="clear" w:color="auto" w:fill="auto"/>
          </w:tcPr>
          <w:p w14:paraId="7C79ED88" w14:textId="77777777" w:rsidR="00004AE3" w:rsidRDefault="00AA75A6">
            <w:pPr>
              <w:pBdr>
                <w:top w:val="nil"/>
                <w:left w:val="nil"/>
                <w:bottom w:val="nil"/>
                <w:right w:val="nil"/>
                <w:between w:val="nil"/>
              </w:pBdr>
              <w:spacing w:before="60" w:after="60"/>
              <w:rPr>
                <w:b/>
                <w:color w:val="000000"/>
              </w:rPr>
            </w:pPr>
            <w:r>
              <w:rPr>
                <w:b/>
                <w:color w:val="000000"/>
              </w:rPr>
              <w:t>HL7</w:t>
            </w:r>
          </w:p>
        </w:tc>
        <w:tc>
          <w:tcPr>
            <w:tcW w:w="8056" w:type="dxa"/>
            <w:shd w:val="clear" w:color="auto" w:fill="auto"/>
          </w:tcPr>
          <w:p w14:paraId="6C9A87A5" w14:textId="77777777" w:rsidR="00004AE3" w:rsidRDefault="00AA75A6">
            <w:pPr>
              <w:pBdr>
                <w:top w:val="nil"/>
                <w:left w:val="nil"/>
                <w:bottom w:val="nil"/>
                <w:right w:val="nil"/>
                <w:between w:val="nil"/>
              </w:pBdr>
              <w:spacing w:before="60" w:after="60"/>
              <w:rPr>
                <w:color w:val="000000"/>
              </w:rPr>
            </w:pPr>
            <w:r>
              <w:rPr>
                <w:color w:val="000000"/>
              </w:rPr>
              <w:t>Health Level 7</w:t>
            </w:r>
          </w:p>
        </w:tc>
      </w:tr>
      <w:tr w:rsidR="00004AE3" w14:paraId="262F283A" w14:textId="77777777">
        <w:trPr>
          <w:trHeight w:val="360"/>
        </w:trPr>
        <w:tc>
          <w:tcPr>
            <w:tcW w:w="1304" w:type="dxa"/>
            <w:shd w:val="clear" w:color="auto" w:fill="auto"/>
          </w:tcPr>
          <w:p w14:paraId="21E6D648" w14:textId="77777777" w:rsidR="00004AE3" w:rsidRDefault="00AA75A6">
            <w:pPr>
              <w:pBdr>
                <w:top w:val="nil"/>
                <w:left w:val="nil"/>
                <w:bottom w:val="nil"/>
                <w:right w:val="nil"/>
                <w:between w:val="nil"/>
              </w:pBdr>
              <w:spacing w:before="60" w:after="60"/>
              <w:rPr>
                <w:b/>
                <w:color w:val="000000"/>
              </w:rPr>
            </w:pPr>
            <w:r>
              <w:rPr>
                <w:b/>
                <w:color w:val="000000"/>
              </w:rPr>
              <w:t>IT</w:t>
            </w:r>
          </w:p>
        </w:tc>
        <w:tc>
          <w:tcPr>
            <w:tcW w:w="8056" w:type="dxa"/>
            <w:shd w:val="clear" w:color="auto" w:fill="auto"/>
          </w:tcPr>
          <w:p w14:paraId="2FB74DC4" w14:textId="77777777" w:rsidR="00004AE3" w:rsidRDefault="00AA75A6">
            <w:pPr>
              <w:pBdr>
                <w:top w:val="nil"/>
                <w:left w:val="nil"/>
                <w:bottom w:val="nil"/>
                <w:right w:val="nil"/>
                <w:between w:val="nil"/>
              </w:pBdr>
              <w:spacing w:before="60" w:after="60"/>
              <w:rPr>
                <w:color w:val="000000"/>
              </w:rPr>
            </w:pPr>
            <w:r>
              <w:rPr>
                <w:color w:val="000000"/>
              </w:rPr>
              <w:t>Information Technology</w:t>
            </w:r>
          </w:p>
        </w:tc>
      </w:tr>
      <w:tr w:rsidR="00004AE3" w14:paraId="0735C368" w14:textId="77777777">
        <w:trPr>
          <w:trHeight w:val="340"/>
        </w:trPr>
        <w:tc>
          <w:tcPr>
            <w:tcW w:w="1304" w:type="dxa"/>
            <w:shd w:val="clear" w:color="auto" w:fill="auto"/>
          </w:tcPr>
          <w:p w14:paraId="7A27129B" w14:textId="77777777" w:rsidR="00004AE3" w:rsidRDefault="00AA75A6">
            <w:pPr>
              <w:pBdr>
                <w:top w:val="nil"/>
                <w:left w:val="nil"/>
                <w:bottom w:val="nil"/>
                <w:right w:val="nil"/>
                <w:between w:val="nil"/>
              </w:pBdr>
              <w:spacing w:before="60" w:after="60"/>
              <w:rPr>
                <w:b/>
                <w:color w:val="000000"/>
              </w:rPr>
            </w:pPr>
            <w:r>
              <w:rPr>
                <w:b/>
                <w:color w:val="000000"/>
              </w:rPr>
              <w:t>LDL</w:t>
            </w:r>
          </w:p>
        </w:tc>
        <w:tc>
          <w:tcPr>
            <w:tcW w:w="8056" w:type="dxa"/>
            <w:shd w:val="clear" w:color="auto" w:fill="auto"/>
          </w:tcPr>
          <w:p w14:paraId="4801C6D5" w14:textId="77777777" w:rsidR="00004AE3" w:rsidRDefault="00AA75A6">
            <w:pPr>
              <w:pBdr>
                <w:top w:val="nil"/>
                <w:left w:val="nil"/>
                <w:bottom w:val="nil"/>
                <w:right w:val="nil"/>
                <w:between w:val="nil"/>
              </w:pBdr>
              <w:spacing w:before="60" w:after="60"/>
              <w:rPr>
                <w:color w:val="000000"/>
              </w:rPr>
            </w:pPr>
            <w:r>
              <w:rPr>
                <w:color w:val="000000"/>
              </w:rPr>
              <w:t>Low-Density Lipoprotein</w:t>
            </w:r>
          </w:p>
        </w:tc>
      </w:tr>
      <w:tr w:rsidR="00004AE3" w14:paraId="0DC9277F" w14:textId="77777777">
        <w:trPr>
          <w:trHeight w:val="340"/>
        </w:trPr>
        <w:tc>
          <w:tcPr>
            <w:tcW w:w="1304" w:type="dxa"/>
            <w:shd w:val="clear" w:color="auto" w:fill="auto"/>
          </w:tcPr>
          <w:p w14:paraId="34962115" w14:textId="77777777" w:rsidR="00004AE3" w:rsidRDefault="00AA75A6">
            <w:pPr>
              <w:pBdr>
                <w:top w:val="nil"/>
                <w:left w:val="nil"/>
                <w:bottom w:val="nil"/>
                <w:right w:val="nil"/>
                <w:between w:val="nil"/>
              </w:pBdr>
              <w:spacing w:before="60" w:after="60"/>
              <w:rPr>
                <w:b/>
                <w:color w:val="000000"/>
              </w:rPr>
            </w:pPr>
            <w:r>
              <w:rPr>
                <w:b/>
                <w:color w:val="000000"/>
              </w:rPr>
              <w:t>ONC</w:t>
            </w:r>
          </w:p>
        </w:tc>
        <w:tc>
          <w:tcPr>
            <w:tcW w:w="8056" w:type="dxa"/>
            <w:shd w:val="clear" w:color="auto" w:fill="auto"/>
          </w:tcPr>
          <w:p w14:paraId="7E7FF439" w14:textId="77777777" w:rsidR="00004AE3" w:rsidRDefault="00AA75A6">
            <w:pPr>
              <w:pBdr>
                <w:top w:val="nil"/>
                <w:left w:val="nil"/>
                <w:bottom w:val="nil"/>
                <w:right w:val="nil"/>
                <w:between w:val="nil"/>
              </w:pBdr>
              <w:spacing w:before="60" w:after="60"/>
              <w:rPr>
                <w:color w:val="000000"/>
              </w:rPr>
            </w:pPr>
            <w:r>
              <w:rPr>
                <w:color w:val="000000"/>
              </w:rPr>
              <w:t>Office of the National Coordinator for Health Information Technology</w:t>
            </w:r>
          </w:p>
        </w:tc>
      </w:tr>
      <w:tr w:rsidR="00004AE3" w14:paraId="17492A3B" w14:textId="77777777">
        <w:trPr>
          <w:trHeight w:val="340"/>
        </w:trPr>
        <w:tc>
          <w:tcPr>
            <w:tcW w:w="1304" w:type="dxa"/>
            <w:shd w:val="clear" w:color="auto" w:fill="auto"/>
          </w:tcPr>
          <w:p w14:paraId="78FCDF1E" w14:textId="77777777" w:rsidR="00004AE3" w:rsidRDefault="00AA75A6">
            <w:pPr>
              <w:pBdr>
                <w:top w:val="nil"/>
                <w:left w:val="nil"/>
                <w:bottom w:val="nil"/>
                <w:right w:val="nil"/>
                <w:between w:val="nil"/>
              </w:pBdr>
              <w:spacing w:before="60" w:after="60"/>
              <w:rPr>
                <w:b/>
                <w:color w:val="000000"/>
              </w:rPr>
            </w:pPr>
            <w:r>
              <w:rPr>
                <w:b/>
                <w:color w:val="000000"/>
              </w:rPr>
              <w:t>PCOR</w:t>
            </w:r>
          </w:p>
        </w:tc>
        <w:tc>
          <w:tcPr>
            <w:tcW w:w="8056" w:type="dxa"/>
            <w:shd w:val="clear" w:color="auto" w:fill="auto"/>
          </w:tcPr>
          <w:p w14:paraId="180873A4" w14:textId="77777777" w:rsidR="00004AE3" w:rsidRDefault="00AA75A6">
            <w:pPr>
              <w:pBdr>
                <w:top w:val="nil"/>
                <w:left w:val="nil"/>
                <w:bottom w:val="nil"/>
                <w:right w:val="nil"/>
                <w:between w:val="nil"/>
              </w:pBdr>
              <w:spacing w:before="60" w:after="60"/>
              <w:rPr>
                <w:color w:val="000000"/>
              </w:rPr>
            </w:pPr>
            <w:r>
              <w:rPr>
                <w:color w:val="000000"/>
              </w:rPr>
              <w:t>Patient-Centered Outcomes Research</w:t>
            </w:r>
          </w:p>
        </w:tc>
      </w:tr>
      <w:tr w:rsidR="00004AE3" w14:paraId="73353E30" w14:textId="77777777">
        <w:trPr>
          <w:trHeight w:val="340"/>
        </w:trPr>
        <w:tc>
          <w:tcPr>
            <w:tcW w:w="1304" w:type="dxa"/>
            <w:shd w:val="clear" w:color="auto" w:fill="auto"/>
          </w:tcPr>
          <w:p w14:paraId="6CE5D021" w14:textId="77777777" w:rsidR="00004AE3" w:rsidRDefault="00AA75A6">
            <w:pPr>
              <w:pBdr>
                <w:top w:val="nil"/>
                <w:left w:val="nil"/>
                <w:bottom w:val="nil"/>
                <w:right w:val="nil"/>
                <w:between w:val="nil"/>
              </w:pBdr>
              <w:spacing w:before="60" w:after="60"/>
              <w:rPr>
                <w:b/>
                <w:color w:val="000000"/>
              </w:rPr>
            </w:pPr>
            <w:r>
              <w:rPr>
                <w:b/>
                <w:color w:val="000000"/>
              </w:rPr>
              <w:t>PCORI</w:t>
            </w:r>
          </w:p>
        </w:tc>
        <w:tc>
          <w:tcPr>
            <w:tcW w:w="8056" w:type="dxa"/>
            <w:shd w:val="clear" w:color="auto" w:fill="auto"/>
          </w:tcPr>
          <w:p w14:paraId="476E72C1" w14:textId="77777777" w:rsidR="00004AE3" w:rsidRDefault="00AA75A6">
            <w:pPr>
              <w:pBdr>
                <w:top w:val="nil"/>
                <w:left w:val="nil"/>
                <w:bottom w:val="nil"/>
                <w:right w:val="nil"/>
                <w:between w:val="nil"/>
              </w:pBdr>
              <w:spacing w:before="60" w:after="60"/>
              <w:rPr>
                <w:color w:val="000000"/>
              </w:rPr>
            </w:pPr>
            <w:r>
              <w:rPr>
                <w:color w:val="000000"/>
              </w:rPr>
              <w:t>Patient-Centered Outcomes Research Institute</w:t>
            </w:r>
          </w:p>
        </w:tc>
      </w:tr>
      <w:tr w:rsidR="00004AE3" w14:paraId="0C6D51E5" w14:textId="77777777">
        <w:trPr>
          <w:trHeight w:val="340"/>
        </w:trPr>
        <w:tc>
          <w:tcPr>
            <w:tcW w:w="1304" w:type="dxa"/>
            <w:shd w:val="clear" w:color="auto" w:fill="auto"/>
          </w:tcPr>
          <w:p w14:paraId="5C9F9CBD" w14:textId="77777777" w:rsidR="00004AE3" w:rsidRDefault="00AA75A6">
            <w:pPr>
              <w:pBdr>
                <w:top w:val="nil"/>
                <w:left w:val="nil"/>
                <w:bottom w:val="nil"/>
                <w:right w:val="nil"/>
                <w:between w:val="nil"/>
              </w:pBdr>
              <w:spacing w:before="60" w:after="60"/>
              <w:rPr>
                <w:b/>
                <w:color w:val="000000"/>
              </w:rPr>
            </w:pPr>
            <w:r>
              <w:rPr>
                <w:b/>
                <w:color w:val="000000"/>
              </w:rPr>
              <w:t>RSAs</w:t>
            </w:r>
          </w:p>
        </w:tc>
        <w:tc>
          <w:tcPr>
            <w:tcW w:w="8056" w:type="dxa"/>
            <w:shd w:val="clear" w:color="auto" w:fill="auto"/>
          </w:tcPr>
          <w:p w14:paraId="724CEEAD" w14:textId="77777777" w:rsidR="00004AE3" w:rsidRDefault="00AA75A6">
            <w:pPr>
              <w:pBdr>
                <w:top w:val="nil"/>
                <w:left w:val="nil"/>
                <w:bottom w:val="nil"/>
                <w:right w:val="nil"/>
                <w:between w:val="nil"/>
              </w:pBdr>
              <w:spacing w:before="60" w:after="60"/>
              <w:rPr>
                <w:color w:val="000000"/>
              </w:rPr>
            </w:pPr>
            <w:r>
              <w:rPr>
                <w:color w:val="000000"/>
              </w:rPr>
              <w:t>Recommendations and Suggested Actions</w:t>
            </w:r>
          </w:p>
        </w:tc>
      </w:tr>
      <w:tr w:rsidR="00004AE3" w14:paraId="32B26834" w14:textId="77777777">
        <w:trPr>
          <w:trHeight w:val="340"/>
        </w:trPr>
        <w:tc>
          <w:tcPr>
            <w:tcW w:w="1304" w:type="dxa"/>
            <w:shd w:val="clear" w:color="auto" w:fill="auto"/>
          </w:tcPr>
          <w:p w14:paraId="58EB7929" w14:textId="77777777" w:rsidR="00004AE3" w:rsidRDefault="00AA75A6">
            <w:pPr>
              <w:pBdr>
                <w:top w:val="nil"/>
                <w:left w:val="nil"/>
                <w:bottom w:val="nil"/>
                <w:right w:val="nil"/>
                <w:between w:val="nil"/>
              </w:pBdr>
              <w:spacing w:before="60" w:after="60"/>
              <w:rPr>
                <w:b/>
                <w:color w:val="000000"/>
              </w:rPr>
            </w:pPr>
            <w:r>
              <w:rPr>
                <w:b/>
                <w:color w:val="000000"/>
              </w:rPr>
              <w:t>USPSTF</w:t>
            </w:r>
          </w:p>
        </w:tc>
        <w:tc>
          <w:tcPr>
            <w:tcW w:w="8056" w:type="dxa"/>
            <w:shd w:val="clear" w:color="auto" w:fill="auto"/>
          </w:tcPr>
          <w:p w14:paraId="5C93F1DC" w14:textId="77777777" w:rsidR="00004AE3" w:rsidRDefault="00AA75A6">
            <w:pPr>
              <w:pBdr>
                <w:top w:val="nil"/>
                <w:left w:val="nil"/>
                <w:bottom w:val="nil"/>
                <w:right w:val="nil"/>
                <w:between w:val="nil"/>
              </w:pBdr>
              <w:spacing w:before="60" w:after="60"/>
              <w:rPr>
                <w:color w:val="000000"/>
              </w:rPr>
            </w:pPr>
            <w:r>
              <w:rPr>
                <w:color w:val="000000"/>
              </w:rPr>
              <w:t>U.S. Preventive Services Task Force</w:t>
            </w:r>
          </w:p>
        </w:tc>
      </w:tr>
    </w:tbl>
    <w:p w14:paraId="01546039" w14:textId="77777777" w:rsidR="00004AE3" w:rsidRDefault="00004AE3">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p>
    <w:p w14:paraId="1CFC0935" w14:textId="77777777" w:rsidR="00004AE3" w:rsidRDefault="00AA75A6">
      <w:pPr>
        <w:spacing w:before="0" w:after="0"/>
        <w:rPr>
          <w:rFonts w:ascii="Arial" w:eastAsia="Arial" w:hAnsi="Arial" w:cs="Arial"/>
          <w:b/>
          <w:sz w:val="32"/>
          <w:szCs w:val="32"/>
        </w:rPr>
      </w:pPr>
      <w:r>
        <w:br w:type="page"/>
      </w:r>
    </w:p>
    <w:p w14:paraId="0BF9E6F6" w14:textId="77777777" w:rsidR="00004AE3" w:rsidRDefault="00AA75A6">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bookmarkStart w:id="37" w:name="_heading=h.ihv636" w:colFirst="0" w:colLast="0"/>
      <w:bookmarkEnd w:id="37"/>
      <w:r>
        <w:rPr>
          <w:rFonts w:ascii="Arial" w:eastAsia="Arial" w:hAnsi="Arial" w:cs="Arial"/>
          <w:b/>
          <w:color w:val="000000"/>
          <w:sz w:val="32"/>
          <w:szCs w:val="32"/>
        </w:rPr>
        <w:lastRenderedPageBreak/>
        <w:t>Reference List</w:t>
      </w:r>
    </w:p>
    <w:p w14:paraId="0D1E2CE5" w14:textId="77777777" w:rsidR="00004AE3" w:rsidRDefault="00AA75A6">
      <w:r>
        <w:t>[1] Osheroff J, Teich J, Middleton B, et al. A Roadmap for National Action on Clinical Decision Support. J Am Med Inform Assoc. 2007 Mar-Apr;14(2):141–5. doi: 10.1197/jamia.M2334</w:t>
      </w:r>
    </w:p>
    <w:p w14:paraId="59AD0DE4" w14:textId="77777777" w:rsidR="00004AE3" w:rsidRDefault="00AA75A6">
      <w:r>
        <w:t>[2] Stone NJ, et. al. 2013 ACC/AHA guideline on the treatment of blood cholesterol to reduce atherosclerotic cardiovascular risk in adults.  Circulation. 2014;129[suppl 2]:S1-45.</w:t>
      </w:r>
    </w:p>
    <w:p w14:paraId="5EFACAF7" w14:textId="77777777" w:rsidR="00004AE3" w:rsidRDefault="00AA75A6">
      <w:r>
        <w:t>[3] Boxwala AA, Rocha HB, Maviglia S, et al. A Multi-Layered Framework for Disseminating Knowledge for Computer-based Decision Support. J Am Med Inform Assoc 2011;18 Suppl 1:i132-9. doi:10.1136/amiajnl-2011-000334.</w:t>
      </w:r>
    </w:p>
    <w:p w14:paraId="564953E0" w14:textId="77777777" w:rsidR="00004AE3" w:rsidRDefault="00AA75A6">
      <w:r>
        <w:t>[4] Tso G, Tu SW, Oshiro C, et al. Automating Guidelines for Clinical Decision Support: Knowledge Engineering and Implementation. AMIA Annu Symp Proc. 2017; 2016:1189–98. PMCID: PMC5333329</w:t>
      </w:r>
    </w:p>
    <w:p w14:paraId="562392AA" w14:textId="77777777" w:rsidR="00004AE3" w:rsidRDefault="00AA75A6">
      <w:r>
        <w:t>[5] Shiffman RN, Michel G, Essaihi A, Thornquiest E. Bridging the Guideline Implementation Gap: A Systematic, Document-Centered Approach to Guideline Implementation. J Am Med Inform Assoc 2004;11(5):4-18-26.</w:t>
      </w:r>
    </w:p>
    <w:p w14:paraId="2DBE58E1" w14:textId="77777777" w:rsidR="00004AE3" w:rsidRDefault="00004AE3">
      <w:pPr>
        <w:keepNext/>
        <w:pBdr>
          <w:top w:val="nil"/>
          <w:left w:val="nil"/>
          <w:bottom w:val="nil"/>
          <w:right w:val="nil"/>
          <w:between w:val="nil"/>
        </w:pBdr>
        <w:tabs>
          <w:tab w:val="left" w:pos="540"/>
        </w:tabs>
        <w:spacing w:before="0" w:after="280"/>
        <w:jc w:val="center"/>
        <w:rPr>
          <w:rFonts w:ascii="Arial" w:eastAsia="Arial" w:hAnsi="Arial" w:cs="Arial"/>
          <w:b/>
          <w:color w:val="000000"/>
          <w:sz w:val="32"/>
          <w:szCs w:val="32"/>
        </w:rPr>
      </w:pPr>
    </w:p>
    <w:sectPr w:rsidR="00004AE3">
      <w:headerReference w:type="default" r:id="rId54"/>
      <w:footerReference w:type="default" r:id="rId55"/>
      <w:headerReference w:type="first" r:id="rId56"/>
      <w:footerReference w:type="first" r:id="rId57"/>
      <w:pgSz w:w="12240" w:h="15840"/>
      <w:pgMar w:top="1440" w:right="1440" w:bottom="1440" w:left="1440" w:header="504" w:footer="504" w:gutter="0"/>
      <w:cols w:space="720" w:equalWidth="0">
        <w:col w:w="9360"/>
      </w:cols>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7E6CC" w16cid:durableId="21768D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F725" w14:textId="77777777" w:rsidR="00E367E6" w:rsidRDefault="00E367E6">
      <w:pPr>
        <w:spacing w:before="0" w:after="0"/>
      </w:pPr>
      <w:r>
        <w:separator/>
      </w:r>
    </w:p>
  </w:endnote>
  <w:endnote w:type="continuationSeparator" w:id="0">
    <w:p w14:paraId="7D7E5CEF" w14:textId="77777777" w:rsidR="00E367E6" w:rsidRDefault="00E367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default"/>
  </w:font>
  <w:font w:name="Noto Sans CJK SC">
    <w:charset w:val="00"/>
    <w:family w:val="roman"/>
    <w:pitch w:val="default"/>
  </w:font>
  <w:font w:name="Lohit Devanagari">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onaco">
    <w:altName w:val="Courier New"/>
    <w:charset w:val="4D"/>
    <w:family w:val="auto"/>
    <w:pitch w:val="variable"/>
    <w:sig w:usb0="A00002FF" w:usb1="500039F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8255" w14:textId="2C2F0888"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bookmarkStart w:id="4" w:name="bookmark=id.vx1227" w:colFirst="0" w:colLast="0"/>
    <w:bookmarkEnd w:id="4"/>
    <w:r>
      <w:rPr>
        <w:rFonts w:ascii="Arial Narrow" w:eastAsia="Arial Narrow" w:hAnsi="Arial Narrow" w:cs="Arial Narrow"/>
        <w:color w:val="000000"/>
        <w:sz w:val="18"/>
        <w:szCs w:val="18"/>
      </w:rPr>
      <w:t>Warfarin - Antidepressants</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6C7BDA">
      <w:rPr>
        <w:rFonts w:ascii="Arial Narrow" w:eastAsia="Arial Narrow" w:hAnsi="Arial Narrow" w:cs="Arial Narrow"/>
        <w:noProof/>
        <w:color w:val="000000"/>
        <w:sz w:val="18"/>
        <w:szCs w:val="18"/>
      </w:rPr>
      <w:t>2</w:t>
    </w:r>
    <w:r>
      <w:rPr>
        <w:rFonts w:ascii="Arial Narrow" w:eastAsia="Arial Narrow" w:hAnsi="Arial Narrow" w:cs="Arial Narrow"/>
        <w:color w:val="000000"/>
        <w:sz w:val="18"/>
        <w:szCs w:val="18"/>
      </w:rPr>
      <w:fldChar w:fldCharType="end"/>
    </w:r>
  </w:p>
  <w:p w14:paraId="2006F164" w14:textId="08447745"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January 8, 2020</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C35A"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45FD" w14:textId="77777777"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EC35" w14:textId="77777777"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D491"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443A" w14:textId="4489B309"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of PDDI</w:t>
    </w:r>
    <w:bookmarkStart w:id="14" w:name="bookmark=id.3fwokq0" w:colFirst="0" w:colLast="0"/>
    <w:bookmarkEnd w:id="14"/>
    <w:r>
      <w:rPr>
        <w:rFonts w:ascii="Arial Narrow" w:eastAsia="Arial Narrow" w:hAnsi="Arial Narrow" w:cs="Arial Narrow"/>
        <w:color w:val="000000"/>
        <w:sz w:val="18"/>
        <w:szCs w:val="18"/>
      </w:rPr>
      <w:t>Statin Therapy for the Prevention and Treatment of Cardiovascular Disease Electronic Clinical Quality Measure</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6C7BDA">
      <w:rPr>
        <w:rFonts w:ascii="Arial Narrow" w:eastAsia="Arial Narrow" w:hAnsi="Arial Narrow" w:cs="Arial Narrow"/>
        <w:noProof/>
        <w:color w:val="000000"/>
        <w:sz w:val="18"/>
        <w:szCs w:val="18"/>
      </w:rPr>
      <w:t>6</w:t>
    </w:r>
    <w:r>
      <w:rPr>
        <w:rFonts w:ascii="Arial Narrow" w:eastAsia="Arial Narrow" w:hAnsi="Arial Narrow" w:cs="Arial Narrow"/>
        <w:color w:val="000000"/>
        <w:sz w:val="18"/>
        <w:szCs w:val="18"/>
      </w:rPr>
      <w:fldChar w:fldCharType="end"/>
    </w:r>
  </w:p>
  <w:p w14:paraId="73CE2116"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September 2017</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9510"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21BA"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E0C4" w14:textId="77777777"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36E6" w14:textId="77777777" w:rsidR="00657CA8" w:rsidRDefault="00657CA8">
    <w:pPr>
      <w:pBdr>
        <w:top w:val="single" w:sz="4" w:space="4" w:color="000000"/>
        <w:left w:val="nil"/>
        <w:bottom w:val="nil"/>
        <w:right w:val="nil"/>
        <w:between w:val="nil"/>
      </w:pBdr>
      <w:tabs>
        <w:tab w:val="center" w:pos="4680"/>
        <w:tab w:val="right" w:pos="9360"/>
      </w:tabs>
      <w:spacing w:before="0" w:after="0"/>
      <w:rPr>
        <w:rFonts w:ascii="Arial Narrow" w:eastAsia="Arial Narrow" w:hAnsi="Arial Narrow" w:cs="Arial Narrow"/>
        <w:color w:val="000000"/>
        <w:sz w:val="18"/>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6400" w14:textId="11ED6BE4"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of PDDI</w:t>
    </w:r>
    <w:bookmarkStart w:id="34" w:name="bookmark=id.2grqrue" w:colFirst="0" w:colLast="0"/>
    <w:bookmarkEnd w:id="34"/>
    <w:r>
      <w:rPr>
        <w:rFonts w:ascii="Arial Narrow" w:eastAsia="Arial Narrow" w:hAnsi="Arial Narrow" w:cs="Arial Narrow"/>
        <w:color w:val="000000"/>
        <w:sz w:val="18"/>
        <w:szCs w:val="18"/>
      </w:rPr>
      <w:t>Statin Therapy for the Prevention and Treatment of Cardiovascular Disease Electronic Clinical Quality Measure</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6C7BDA">
      <w:rPr>
        <w:rFonts w:ascii="Arial Narrow" w:eastAsia="Arial Narrow" w:hAnsi="Arial Narrow" w:cs="Arial Narrow"/>
        <w:noProof/>
        <w:color w:val="000000"/>
        <w:sz w:val="18"/>
        <w:szCs w:val="18"/>
      </w:rPr>
      <w:t>12</w:t>
    </w:r>
    <w:r>
      <w:rPr>
        <w:rFonts w:ascii="Arial Narrow" w:eastAsia="Arial Narrow" w:hAnsi="Arial Narrow" w:cs="Arial Narrow"/>
        <w:color w:val="000000"/>
        <w:sz w:val="18"/>
        <w:szCs w:val="18"/>
      </w:rPr>
      <w:fldChar w:fldCharType="end"/>
    </w:r>
  </w:p>
  <w:p w14:paraId="08B03A48" w14:textId="77777777" w:rsidR="00657CA8" w:rsidRDefault="00657CA8">
    <w:pPr>
      <w:pBdr>
        <w:top w:val="single" w:sz="4" w:space="4" w:color="000000"/>
        <w:left w:val="nil"/>
        <w:bottom w:val="nil"/>
        <w:right w:val="nil"/>
        <w:between w:val="nil"/>
      </w:pBdr>
      <w:tabs>
        <w:tab w:val="center" w:pos="4680"/>
        <w:tab w:val="right" w:pos="9360"/>
      </w:tabs>
      <w:spacing w:after="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Version 1.0</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D867" w14:textId="77777777" w:rsidR="00E367E6" w:rsidRDefault="00E367E6">
      <w:pPr>
        <w:spacing w:before="0" w:after="0"/>
      </w:pPr>
      <w:r>
        <w:separator/>
      </w:r>
    </w:p>
  </w:footnote>
  <w:footnote w:type="continuationSeparator" w:id="0">
    <w:p w14:paraId="503A7981" w14:textId="77777777" w:rsidR="00E367E6" w:rsidRDefault="00E367E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7442"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EF89" w14:textId="77777777" w:rsidR="00657CA8" w:rsidRDefault="00657CA8">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38" w:name="bookmark=id.32hioqz" w:colFirst="0" w:colLast="0"/>
    <w:bookmarkEnd w:id="38"/>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1C16"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A4B8" w14:textId="77777777" w:rsidR="00657CA8" w:rsidRDefault="00657CA8">
    <w:pPr>
      <w:pBdr>
        <w:top w:val="nil"/>
        <w:left w:val="nil"/>
        <w:bottom w:val="nil"/>
        <w:right w:val="nil"/>
        <w:between w:val="nil"/>
      </w:pBdr>
      <w:tabs>
        <w:tab w:val="center" w:pos="4320"/>
      </w:tabs>
      <w:spacing w:before="0" w:after="0"/>
      <w:rPr>
        <w:rFonts w:ascii="Arial" w:eastAsia="Arial" w:hAnsi="Arial" w:cs="Arial"/>
        <w:b/>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27AE"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5A4F"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5656"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BF88" w14:textId="77777777" w:rsidR="00657CA8" w:rsidRDefault="00657CA8">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24" w:name="bookmark=id.1hmsyys" w:colFirst="0" w:colLast="0"/>
    <w:bookmarkEnd w:id="24"/>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1136"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48CA" w14:textId="77777777" w:rsidR="00657CA8" w:rsidRDefault="00657CA8">
    <w:pPr>
      <w:pBdr>
        <w:top w:val="nil"/>
        <w:left w:val="nil"/>
        <w:bottom w:val="single" w:sz="4" w:space="2" w:color="000000"/>
        <w:right w:val="nil"/>
        <w:between w:val="nil"/>
      </w:pBdr>
      <w:tabs>
        <w:tab w:val="right" w:pos="9360"/>
      </w:tabs>
      <w:spacing w:after="240"/>
      <w:rPr>
        <w:rFonts w:ascii="Arial Narrow" w:eastAsia="Arial Narrow" w:hAnsi="Arial Narrow" w:cs="Arial Narrow"/>
        <w:color w:val="000000"/>
        <w:sz w:val="18"/>
        <w:szCs w:val="18"/>
      </w:rPr>
    </w:pPr>
    <w:bookmarkStart w:id="33" w:name="bookmark=id.41mghml" w:colFirst="0" w:colLast="0"/>
    <w:bookmarkEnd w:id="33"/>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8F62" w14:textId="77777777" w:rsidR="00657CA8" w:rsidRDefault="00657CA8">
    <w:pPr>
      <w:pBdr>
        <w:top w:val="nil"/>
        <w:left w:val="nil"/>
        <w:bottom w:val="single" w:sz="4" w:space="1" w:color="000000"/>
        <w:right w:val="nil"/>
        <w:between w:val="nil"/>
      </w:pBdr>
      <w:tabs>
        <w:tab w:val="right" w:pos="9360"/>
      </w:tabs>
      <w:spacing w:after="240"/>
      <w:rPr>
        <w:rFonts w:ascii="Arial Narrow" w:eastAsia="Arial Narrow" w:hAnsi="Arial Narrow" w:cs="Arial Narrow"/>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1020"/>
    <w:multiLevelType w:val="multilevel"/>
    <w:tmpl w:val="B5B0C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B73FA6"/>
    <w:multiLevelType w:val="multilevel"/>
    <w:tmpl w:val="E88262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4872DC"/>
    <w:multiLevelType w:val="multilevel"/>
    <w:tmpl w:val="49A47A3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0D52"/>
    <w:multiLevelType w:val="multilevel"/>
    <w:tmpl w:val="59BE3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33318C"/>
    <w:multiLevelType w:val="hybridMultilevel"/>
    <w:tmpl w:val="7EC8386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F1D27"/>
    <w:multiLevelType w:val="multilevel"/>
    <w:tmpl w:val="28E8C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8C0FC3"/>
    <w:multiLevelType w:val="multilevel"/>
    <w:tmpl w:val="B698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75D7C"/>
    <w:multiLevelType w:val="multilevel"/>
    <w:tmpl w:val="5A584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E3"/>
    <w:rsid w:val="00004AE3"/>
    <w:rsid w:val="0000790C"/>
    <w:rsid w:val="000F4D7F"/>
    <w:rsid w:val="00381D9F"/>
    <w:rsid w:val="003A3D3D"/>
    <w:rsid w:val="003D104B"/>
    <w:rsid w:val="003E4BB1"/>
    <w:rsid w:val="00423419"/>
    <w:rsid w:val="00425094"/>
    <w:rsid w:val="0046608C"/>
    <w:rsid w:val="004F17A7"/>
    <w:rsid w:val="004F22EE"/>
    <w:rsid w:val="004F516E"/>
    <w:rsid w:val="005248CB"/>
    <w:rsid w:val="00565553"/>
    <w:rsid w:val="00565A17"/>
    <w:rsid w:val="00585B52"/>
    <w:rsid w:val="00594E74"/>
    <w:rsid w:val="00657CA8"/>
    <w:rsid w:val="006C62E9"/>
    <w:rsid w:val="006C7BDA"/>
    <w:rsid w:val="006F6499"/>
    <w:rsid w:val="007011C7"/>
    <w:rsid w:val="00754F03"/>
    <w:rsid w:val="00772A19"/>
    <w:rsid w:val="0078057A"/>
    <w:rsid w:val="007C191D"/>
    <w:rsid w:val="008F3487"/>
    <w:rsid w:val="009E132E"/>
    <w:rsid w:val="00A21851"/>
    <w:rsid w:val="00A94171"/>
    <w:rsid w:val="00AA75A6"/>
    <w:rsid w:val="00B01343"/>
    <w:rsid w:val="00B107FB"/>
    <w:rsid w:val="00BC5DD4"/>
    <w:rsid w:val="00C34462"/>
    <w:rsid w:val="00C5423D"/>
    <w:rsid w:val="00CA54D1"/>
    <w:rsid w:val="00CD3F3D"/>
    <w:rsid w:val="00D26E06"/>
    <w:rsid w:val="00D64269"/>
    <w:rsid w:val="00E17E24"/>
    <w:rsid w:val="00E367E6"/>
    <w:rsid w:val="00EA41C3"/>
    <w:rsid w:val="00ED2254"/>
    <w:rsid w:val="00F3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0F8E"/>
  <w15:docId w15:val="{7C051565-C00D-42D0-914F-F40B845C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8C"/>
  </w:style>
  <w:style w:type="paragraph" w:styleId="Heading1">
    <w:name w:val="heading 1"/>
    <w:next w:val="Normal"/>
    <w:link w:val="Heading1Char"/>
    <w:uiPriority w:val="9"/>
    <w:qFormat/>
    <w:rsid w:val="00D10E59"/>
    <w:pPr>
      <w:keepNext/>
      <w:tabs>
        <w:tab w:val="left" w:pos="540"/>
      </w:tabs>
      <w:spacing w:after="280"/>
      <w:jc w:val="center"/>
      <w:outlineLvl w:val="0"/>
    </w:pPr>
    <w:rPr>
      <w:rFonts w:ascii="Arial" w:hAnsi="Arial" w:cs="Arial"/>
      <w:b/>
      <w:kern w:val="2"/>
      <w:sz w:val="32"/>
      <w:szCs w:val="32"/>
    </w:rPr>
  </w:style>
  <w:style w:type="paragraph" w:styleId="Heading2">
    <w:name w:val="heading 2"/>
    <w:next w:val="Normal"/>
    <w:link w:val="Heading2Char"/>
    <w:uiPriority w:val="9"/>
    <w:unhideWhenUsed/>
    <w:qFormat/>
    <w:rsid w:val="00D10E59"/>
    <w:pPr>
      <w:keepNext/>
      <w:spacing w:before="300" w:after="100"/>
      <w:outlineLvl w:val="1"/>
    </w:pPr>
    <w:rPr>
      <w:rFonts w:ascii="Arial" w:hAnsi="Arial" w:cs="Arial"/>
      <w:b/>
      <w:sz w:val="28"/>
      <w:szCs w:val="28"/>
    </w:rPr>
  </w:style>
  <w:style w:type="paragraph" w:styleId="Heading3">
    <w:name w:val="heading 3"/>
    <w:next w:val="Normal"/>
    <w:uiPriority w:val="9"/>
    <w:semiHidden/>
    <w:unhideWhenUsed/>
    <w:qFormat/>
    <w:pPr>
      <w:keepNext/>
      <w:numPr>
        <w:ilvl w:val="2"/>
        <w:numId w:val="1"/>
      </w:numPr>
      <w:tabs>
        <w:tab w:val="left" w:pos="900"/>
      </w:tabs>
      <w:spacing w:before="240"/>
      <w:ind w:left="900" w:hanging="900"/>
      <w:outlineLvl w:val="2"/>
    </w:pPr>
    <w:rPr>
      <w:rFonts w:ascii="Arial Narrow" w:hAnsi="Arial Narrow"/>
      <w:b/>
      <w:sz w:val="28"/>
    </w:rPr>
  </w:style>
  <w:style w:type="paragraph" w:styleId="Heading4">
    <w:name w:val="heading 4"/>
    <w:next w:val="Normal"/>
    <w:uiPriority w:val="9"/>
    <w:semiHidden/>
    <w:unhideWhenUsed/>
    <w:qFormat/>
    <w:pPr>
      <w:keepNext/>
      <w:numPr>
        <w:ilvl w:val="3"/>
        <w:numId w:val="1"/>
      </w:numPr>
      <w:tabs>
        <w:tab w:val="left" w:pos="1080"/>
      </w:tabs>
      <w:spacing w:before="240"/>
      <w:ind w:left="1080" w:hanging="1080"/>
      <w:outlineLvl w:val="3"/>
    </w:pPr>
    <w:rPr>
      <w:rFonts w:ascii="Arial Narrow" w:hAnsi="Arial Narrow"/>
      <w:b/>
      <w:sz w:val="26"/>
    </w:rPr>
  </w:style>
  <w:style w:type="paragraph" w:styleId="Heading5">
    <w:name w:val="heading 5"/>
    <w:next w:val="Normal"/>
    <w:uiPriority w:val="9"/>
    <w:semiHidden/>
    <w:unhideWhenUsed/>
    <w:qFormat/>
    <w:pPr>
      <w:keepNext/>
      <w:numPr>
        <w:ilvl w:val="4"/>
        <w:numId w:val="1"/>
      </w:numPr>
      <w:tabs>
        <w:tab w:val="left" w:pos="1260"/>
      </w:tabs>
      <w:spacing w:before="240"/>
      <w:ind w:left="1260" w:hanging="1260"/>
      <w:outlineLvl w:val="4"/>
    </w:pPr>
    <w:rPr>
      <w:rFonts w:ascii="Arial Narrow" w:hAnsi="Arial Narrow"/>
      <w:i/>
      <w:sz w:val="26"/>
    </w:rPr>
  </w:style>
  <w:style w:type="paragraph" w:styleId="Heading6">
    <w:name w:val="heading 6"/>
    <w:next w:val="Normal"/>
    <w:uiPriority w:val="9"/>
    <w:semiHidden/>
    <w:unhideWhenUsed/>
    <w:qFormat/>
    <w:pPr>
      <w:keepNext/>
      <w:numPr>
        <w:ilvl w:val="5"/>
        <w:numId w:val="1"/>
      </w:numPr>
      <w:tabs>
        <w:tab w:val="left" w:pos="360"/>
      </w:tabs>
      <w:ind w:left="0" w:firstLine="0"/>
      <w:outlineLvl w:val="5"/>
    </w:pPr>
    <w:rPr>
      <w:rFonts w:ascii="Arial Narrow" w:hAnsi="Arial Narrow"/>
      <w:i/>
      <w:sz w:val="26"/>
    </w:rPr>
  </w:style>
  <w:style w:type="paragraph" w:styleId="Heading7">
    <w:name w:val="heading 7"/>
    <w:basedOn w:val="Normal"/>
    <w:next w:val="Normal"/>
    <w:qFormat/>
    <w:pPr>
      <w:numPr>
        <w:ilvl w:val="6"/>
        <w:numId w:val="1"/>
      </w:numPr>
      <w:tabs>
        <w:tab w:val="left" w:pos="360"/>
      </w:tabs>
      <w:spacing w:before="240" w:after="60"/>
      <w:ind w:left="0" w:firstLine="0"/>
      <w:outlineLvl w:val="6"/>
    </w:pPr>
    <w:rPr>
      <w:rFonts w:ascii="Arial Narrow" w:hAnsi="Arial Narrow"/>
      <w:i/>
    </w:rPr>
  </w:style>
  <w:style w:type="paragraph" w:styleId="Heading8">
    <w:name w:val="heading 8"/>
    <w:basedOn w:val="Normal"/>
    <w:next w:val="Normal"/>
    <w:qFormat/>
    <w:pPr>
      <w:keepNext/>
      <w:jc w:val="center"/>
      <w:outlineLvl w:val="7"/>
    </w:pPr>
    <w:rPr>
      <w:rFonts w:ascii="Garamond" w:hAnsi="Garamond"/>
      <w:b/>
      <w:sz w:val="36"/>
    </w:rPr>
  </w:style>
  <w:style w:type="paragraph" w:styleId="Heading9">
    <w:name w:val="heading 9"/>
    <w:basedOn w:val="Normal"/>
    <w:next w:val="Normal"/>
    <w:qFormat/>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E59"/>
    <w:pPr>
      <w:pBdr>
        <w:bottom w:val="single" w:sz="12" w:space="1" w:color="000000"/>
      </w:pBdr>
      <w:spacing w:before="0" w:after="0"/>
      <w:contextualSpacing/>
    </w:pPr>
    <w:rPr>
      <w:rFonts w:ascii="Arial" w:eastAsia="Calibri" w:hAnsi="Arial" w:cs="Arial"/>
      <w:b/>
      <w:spacing w:val="-10"/>
      <w:kern w:val="2"/>
      <w:sz w:val="36"/>
      <w:szCs w:val="56"/>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VersionCharChar">
    <w:name w:val="Version Char Char"/>
    <w:basedOn w:val="DefaultParagraphFont"/>
    <w:link w:val="Version"/>
    <w:qFormat/>
    <w:rPr>
      <w:rFonts w:ascii="Arial Narrow" w:hAnsi="Arial Narrow"/>
      <w:b/>
      <w:sz w:val="32"/>
      <w:szCs w:val="32"/>
    </w:rPr>
  </w:style>
  <w:style w:type="character" w:customStyle="1" w:styleId="ProgramNameChar">
    <w:name w:val="Program Name Char"/>
    <w:basedOn w:val="DefaultParagraphFont"/>
    <w:link w:val="ProgramName"/>
    <w:qFormat/>
    <w:rPr>
      <w:rFonts w:ascii="Arial Narrow" w:hAnsi="Arial Narrow"/>
      <w:b/>
      <w:sz w:val="40"/>
      <w:lang w:val="en-US" w:eastAsia="en-US" w:bidi="ar-SA"/>
    </w:rPr>
  </w:style>
  <w:style w:type="character" w:customStyle="1" w:styleId="CustomerProgramChar">
    <w:name w:val="CustomerProgram Char"/>
    <w:basedOn w:val="ProgramNameChar"/>
    <w:link w:val="CustomerProgram"/>
    <w:qFormat/>
    <w:rPr>
      <w:rFonts w:ascii="Arial Narrow" w:hAnsi="Arial Narrow"/>
      <w:b/>
      <w:sz w:val="32"/>
      <w:lang w:val="en-US" w:eastAsia="en-US" w:bidi="ar-SA"/>
    </w:rPr>
  </w:style>
  <w:style w:type="character" w:customStyle="1" w:styleId="TableTextChar">
    <w:name w:val="TableText Char"/>
    <w:basedOn w:val="DefaultParagraphFont"/>
    <w:link w:val="TableText"/>
    <w:qFormat/>
    <w:rPr>
      <w:rFonts w:ascii="Arial" w:hAnsi="Arial"/>
    </w:rPr>
  </w:style>
  <w:style w:type="character" w:styleId="CommentReference">
    <w:name w:val="annotation reference"/>
    <w:basedOn w:val="DefaultParagraphFont"/>
    <w:qFormat/>
    <w:rPr>
      <w:sz w:val="16"/>
      <w:szCs w:val="16"/>
    </w:rPr>
  </w:style>
  <w:style w:type="character" w:customStyle="1" w:styleId="EndnoteCharacters">
    <w:name w:val="Endnote Characters"/>
    <w:basedOn w:val="DefaultParagraphFont"/>
    <w:qFormat/>
    <w:rPr>
      <w:vertAlign w:val="superscript"/>
    </w:rPr>
  </w:style>
  <w:style w:type="character" w:customStyle="1" w:styleId="EndnoteAnchor">
    <w:name w:val="Endnote Anchor"/>
    <w:rPr>
      <w:vertAlign w:val="superscript"/>
    </w:rPr>
  </w:style>
  <w:style w:type="character" w:customStyle="1" w:styleId="InternetLink">
    <w:name w:val="Internet Link"/>
    <w:basedOn w:val="DefaultParagraphFont"/>
    <w:uiPriority w:val="99"/>
    <w:rPr>
      <w:color w:val="0000FF" w:themeColor="hyperlink"/>
      <w:u w:val="single"/>
    </w:rPr>
  </w:style>
  <w:style w:type="character" w:customStyle="1" w:styleId="Heading1Char">
    <w:name w:val="Heading 1 Char"/>
    <w:basedOn w:val="DefaultParagraphFont"/>
    <w:link w:val="Heading1"/>
    <w:uiPriority w:val="9"/>
    <w:qFormat/>
    <w:rsid w:val="00D10E59"/>
    <w:rPr>
      <w:rFonts w:ascii="Arial" w:hAnsi="Arial" w:cs="Arial"/>
      <w:b/>
      <w:kern w:val="2"/>
      <w:sz w:val="32"/>
      <w:szCs w:val="32"/>
    </w:rPr>
  </w:style>
  <w:style w:type="character" w:styleId="FollowedHyperlink">
    <w:name w:val="FollowedHyperlink"/>
    <w:basedOn w:val="DefaultParagraphFont"/>
    <w:semiHidden/>
    <w:unhideWhenUsed/>
    <w:qFormat/>
    <w:rsid w:val="00081597"/>
    <w:rPr>
      <w:color w:val="800080" w:themeColor="followedHyperlink"/>
      <w:u w:val="single"/>
    </w:rPr>
  </w:style>
  <w:style w:type="character" w:customStyle="1" w:styleId="Heading2Char">
    <w:name w:val="Heading 2 Char"/>
    <w:basedOn w:val="DefaultParagraphFont"/>
    <w:link w:val="Heading2"/>
    <w:uiPriority w:val="9"/>
    <w:qFormat/>
    <w:rsid w:val="00D10E59"/>
    <w:rPr>
      <w:rFonts w:ascii="Arial" w:hAnsi="Arial" w:cs="Arial"/>
      <w:b/>
      <w:sz w:val="28"/>
      <w:szCs w:val="28"/>
    </w:rPr>
  </w:style>
  <w:style w:type="character" w:customStyle="1" w:styleId="TitleChar">
    <w:name w:val="Title Char"/>
    <w:basedOn w:val="DefaultParagraphFont"/>
    <w:link w:val="Title"/>
    <w:uiPriority w:val="10"/>
    <w:qFormat/>
    <w:rsid w:val="00D10E59"/>
    <w:rPr>
      <w:rFonts w:ascii="Arial" w:eastAsia="Calibri" w:hAnsi="Arial" w:cs="Arial"/>
      <w:b/>
      <w:spacing w:val="-10"/>
      <w:kern w:val="2"/>
      <w:sz w:val="36"/>
      <w:szCs w:val="56"/>
    </w:rPr>
  </w:style>
  <w:style w:type="character" w:customStyle="1" w:styleId="ListLabel1">
    <w:name w:val="ListLabel 1"/>
    <w:qFormat/>
    <w:rPr>
      <w:b/>
      <w:i w:val="0"/>
      <w:sz w:val="36"/>
    </w:rPr>
  </w:style>
  <w:style w:type="character" w:customStyle="1" w:styleId="ListLabel2">
    <w:name w:val="ListLabel 2"/>
    <w:qFormat/>
    <w:rPr>
      <w:b/>
      <w:i w:val="0"/>
      <w:sz w:val="32"/>
    </w:rPr>
  </w:style>
  <w:style w:type="character" w:customStyle="1" w:styleId="ListLabel3">
    <w:name w:val="ListLabel 3"/>
    <w:qFormat/>
    <w:rPr>
      <w:b/>
      <w:i w:val="0"/>
      <w:sz w:val="28"/>
    </w:rPr>
  </w:style>
  <w:style w:type="character" w:customStyle="1" w:styleId="ListLabel4">
    <w:name w:val="ListLabel 4"/>
    <w:qFormat/>
    <w:rPr>
      <w:b/>
      <w:i w:val="0"/>
      <w:sz w:val="26"/>
    </w:rPr>
  </w:style>
  <w:style w:type="character" w:customStyle="1" w:styleId="ListLabel5">
    <w:name w:val="ListLabel 5"/>
    <w:qFormat/>
    <w:rPr>
      <w:b w:val="0"/>
      <w:i/>
      <w:sz w:val="26"/>
    </w:rPr>
  </w:style>
  <w:style w:type="character" w:customStyle="1" w:styleId="ListLabel6">
    <w:name w:val="ListLabel 6"/>
    <w:qFormat/>
    <w:rPr>
      <w:sz w:val="24"/>
    </w:rPr>
  </w:style>
  <w:style w:type="character" w:customStyle="1" w:styleId="ListLabel7">
    <w:name w:val="ListLabel 7"/>
    <w:qFormat/>
    <w:rPr>
      <w:b w:val="0"/>
      <w:i w:val="0"/>
      <w:sz w:val="24"/>
    </w:rPr>
  </w:style>
  <w:style w:type="character" w:customStyle="1" w:styleId="ListLabel8">
    <w:name w:val="ListLabel 8"/>
    <w:qFormat/>
    <w:rPr>
      <w:b w:val="0"/>
      <w:i w:val="0"/>
      <w:sz w:val="24"/>
    </w:rPr>
  </w:style>
  <w:style w:type="character" w:customStyle="1" w:styleId="ListLabel9">
    <w:name w:val="ListLabel 9"/>
    <w:qFormat/>
    <w:rPr>
      <w:b w:val="0"/>
      <w:i w:val="0"/>
      <w:sz w:val="16"/>
    </w:rPr>
  </w:style>
  <w:style w:type="character" w:customStyle="1" w:styleId="ListLabel10">
    <w:name w:val="ListLabel 10"/>
    <w:qFormat/>
    <w:rPr>
      <w:b w:val="0"/>
      <w:i w:val="0"/>
      <w:sz w:val="22"/>
    </w:rPr>
  </w:style>
  <w:style w:type="character" w:customStyle="1" w:styleId="ListLabel11">
    <w:name w:val="ListLabel 11"/>
    <w:qFormat/>
    <w:rPr>
      <w:b w:val="0"/>
      <w:i w:val="0"/>
      <w:sz w:val="24"/>
    </w:rPr>
  </w:style>
  <w:style w:type="character" w:customStyle="1" w:styleId="ListLabel12">
    <w:name w:val="ListLabel 12"/>
    <w:qFormat/>
    <w:rPr>
      <w:b w:val="0"/>
      <w:i w:val="0"/>
      <w:sz w:val="24"/>
    </w:rPr>
  </w:style>
  <w:style w:type="character" w:customStyle="1" w:styleId="ListLabel13">
    <w:name w:val="ListLabel 13"/>
    <w:qFormat/>
    <w:rPr>
      <w:b w:val="0"/>
      <w:i w:val="0"/>
      <w:sz w:val="24"/>
    </w:rPr>
  </w:style>
  <w:style w:type="character" w:customStyle="1" w:styleId="ListLabel14">
    <w:name w:val="ListLabel 14"/>
    <w:qFormat/>
    <w:rPr>
      <w:b w:val="0"/>
      <w:i w:val="0"/>
      <w:sz w:val="18"/>
    </w:rPr>
  </w:style>
  <w:style w:type="character" w:customStyle="1" w:styleId="ListLabel15">
    <w:name w:val="ListLabel 15"/>
    <w:qFormat/>
    <w:rPr>
      <w:b w:val="0"/>
      <w:i w:val="0"/>
      <w:sz w:val="18"/>
    </w:rPr>
  </w:style>
  <w:style w:type="character" w:customStyle="1" w:styleId="ListLabel16">
    <w:name w:val="ListLabel 16"/>
    <w:qFormat/>
    <w:rPr>
      <w:b w:val="0"/>
      <w:i w:val="0"/>
      <w:sz w:val="24"/>
    </w:rPr>
  </w:style>
  <w:style w:type="character" w:customStyle="1" w:styleId="ListLabel17">
    <w:name w:val="ListLabel 17"/>
    <w:qFormat/>
    <w:rPr>
      <w:b w:val="0"/>
      <w:i w:val="0"/>
      <w:sz w:val="24"/>
    </w:rPr>
  </w:style>
  <w:style w:type="character" w:customStyle="1" w:styleId="ListLabel18">
    <w:name w:val="ListLabel 18"/>
    <w:qFormat/>
    <w:rPr>
      <w:b w:val="0"/>
      <w:i w:val="0"/>
      <w:sz w:val="16"/>
    </w:rPr>
  </w:style>
  <w:style w:type="character" w:customStyle="1" w:styleId="ListLabel19">
    <w:name w:val="ListLabel 19"/>
    <w:qFormat/>
    <w:rPr>
      <w:b w:val="0"/>
      <w:i w:val="0"/>
      <w:sz w:val="22"/>
    </w:rPr>
  </w:style>
  <w:style w:type="character" w:customStyle="1" w:styleId="ListLabel20">
    <w:name w:val="ListLabel 20"/>
    <w:qFormat/>
    <w:rPr>
      <w:b w:val="0"/>
      <w:i w:val="0"/>
      <w:sz w:val="24"/>
    </w:rPr>
  </w:style>
  <w:style w:type="character" w:customStyle="1" w:styleId="ListLabel21">
    <w:name w:val="ListLabel 21"/>
    <w:qFormat/>
    <w:rPr>
      <w:b w:val="0"/>
      <w:i w:val="0"/>
      <w:sz w:val="24"/>
    </w:rPr>
  </w:style>
  <w:style w:type="character" w:customStyle="1" w:styleId="ListLabel22">
    <w:name w:val="ListLabel 22"/>
    <w:qFormat/>
    <w:rPr>
      <w:b w:val="0"/>
      <w:i w:val="0"/>
      <w:sz w:val="24"/>
    </w:rPr>
  </w:style>
  <w:style w:type="character" w:customStyle="1" w:styleId="ListLabel23">
    <w:name w:val="ListLabel 23"/>
    <w:qFormat/>
    <w:rPr>
      <w:b w:val="0"/>
      <w:i w:val="0"/>
      <w:sz w:val="18"/>
    </w:rPr>
  </w:style>
  <w:style w:type="character" w:customStyle="1" w:styleId="ListLabel24">
    <w:name w:val="ListLabel 24"/>
    <w:qFormat/>
    <w:rPr>
      <w:b w:val="0"/>
      <w:i w:val="0"/>
      <w:sz w:val="18"/>
    </w:rPr>
  </w:style>
  <w:style w:type="character" w:customStyle="1" w:styleId="ListLabel25">
    <w:name w:val="ListLabel 25"/>
    <w:qFormat/>
    <w:rPr>
      <w:b w:val="0"/>
      <w:i w:val="0"/>
      <w:color w:val="auto"/>
      <w:sz w:val="24"/>
    </w:rPr>
  </w:style>
  <w:style w:type="character" w:customStyle="1" w:styleId="ListLabel26">
    <w:name w:val="ListLabel 26"/>
    <w:qFormat/>
    <w:rPr>
      <w:b w:val="0"/>
      <w:i w:val="0"/>
      <w:sz w:val="24"/>
    </w:rPr>
  </w:style>
  <w:style w:type="character" w:customStyle="1" w:styleId="ListLabel27">
    <w:name w:val="ListLabel 27"/>
    <w:qFormat/>
    <w:rPr>
      <w:b w:val="0"/>
      <w:i w:val="0"/>
      <w:sz w:val="16"/>
    </w:rPr>
  </w:style>
  <w:style w:type="character" w:customStyle="1" w:styleId="ListLabel28">
    <w:name w:val="ListLabel 28"/>
    <w:qFormat/>
    <w:rPr>
      <w:b w:val="0"/>
      <w:i w:val="0"/>
      <w:sz w:val="22"/>
    </w:rPr>
  </w:style>
  <w:style w:type="character" w:customStyle="1" w:styleId="ListLabel29">
    <w:name w:val="ListLabel 29"/>
    <w:qFormat/>
    <w:rPr>
      <w:b w:val="0"/>
      <w:i w:val="0"/>
      <w:sz w:val="24"/>
    </w:rPr>
  </w:style>
  <w:style w:type="character" w:customStyle="1" w:styleId="ListLabel30">
    <w:name w:val="ListLabel 30"/>
    <w:qFormat/>
    <w:rPr>
      <w:b w:val="0"/>
      <w:i w:val="0"/>
      <w:sz w:val="24"/>
    </w:rPr>
  </w:style>
  <w:style w:type="character" w:customStyle="1" w:styleId="ListLabel31">
    <w:name w:val="ListLabel 31"/>
    <w:qFormat/>
    <w:rPr>
      <w:b w:val="0"/>
      <w:i w:val="0"/>
      <w:sz w:val="24"/>
    </w:rPr>
  </w:style>
  <w:style w:type="character" w:customStyle="1" w:styleId="ListLabel32">
    <w:name w:val="ListLabel 32"/>
    <w:qFormat/>
    <w:rPr>
      <w:b w:val="0"/>
      <w:i w:val="0"/>
      <w:sz w:val="18"/>
    </w:rPr>
  </w:style>
  <w:style w:type="character" w:customStyle="1" w:styleId="ListLabel33">
    <w:name w:val="ListLabel 33"/>
    <w:qFormat/>
    <w:rPr>
      <w:b w:val="0"/>
      <w:i w:val="0"/>
      <w:sz w:val="18"/>
    </w:rPr>
  </w:style>
  <w:style w:type="character" w:customStyle="1" w:styleId="ListLabel34">
    <w:name w:val="ListLabel 34"/>
    <w:qFormat/>
    <w:rPr>
      <w:b w:val="0"/>
      <w:i w:val="0"/>
      <w:sz w:val="24"/>
    </w:rPr>
  </w:style>
  <w:style w:type="character" w:customStyle="1" w:styleId="ListLabel35">
    <w:name w:val="ListLabel 35"/>
    <w:qFormat/>
    <w:rPr>
      <w:b w:val="0"/>
      <w:i w:val="0"/>
      <w:sz w:val="24"/>
    </w:rPr>
  </w:style>
  <w:style w:type="character" w:customStyle="1" w:styleId="ListLabel36">
    <w:name w:val="ListLabel 36"/>
    <w:qFormat/>
    <w:rPr>
      <w:b w:val="0"/>
      <w:i w:val="0"/>
      <w:sz w:val="16"/>
    </w:rPr>
  </w:style>
  <w:style w:type="character" w:customStyle="1" w:styleId="ListLabel37">
    <w:name w:val="ListLabel 37"/>
    <w:qFormat/>
    <w:rPr>
      <w:b w:val="0"/>
      <w:i w:val="0"/>
      <w:sz w:val="22"/>
    </w:rPr>
  </w:style>
  <w:style w:type="character" w:customStyle="1" w:styleId="ListLabel38">
    <w:name w:val="ListLabel 38"/>
    <w:qFormat/>
    <w:rPr>
      <w:b w:val="0"/>
      <w:i w:val="0"/>
      <w:sz w:val="24"/>
    </w:rPr>
  </w:style>
  <w:style w:type="character" w:customStyle="1" w:styleId="ListLabel39">
    <w:name w:val="ListLabel 39"/>
    <w:qFormat/>
    <w:rPr>
      <w:b w:val="0"/>
      <w:i w:val="0"/>
      <w:sz w:val="24"/>
    </w:rPr>
  </w:style>
  <w:style w:type="character" w:customStyle="1" w:styleId="ListLabel40">
    <w:name w:val="ListLabel 40"/>
    <w:qFormat/>
    <w:rPr>
      <w:b w:val="0"/>
      <w:i w:val="0"/>
      <w:sz w:val="24"/>
    </w:rPr>
  </w:style>
  <w:style w:type="character" w:customStyle="1" w:styleId="ListLabel41">
    <w:name w:val="ListLabel 41"/>
    <w:qFormat/>
    <w:rPr>
      <w:b w:val="0"/>
      <w:i w:val="0"/>
      <w:sz w:val="18"/>
    </w:rPr>
  </w:style>
  <w:style w:type="character" w:customStyle="1" w:styleId="ListLabel42">
    <w:name w:val="ListLabel 42"/>
    <w:qFormat/>
    <w:rPr>
      <w:b w:val="0"/>
      <w:i w:val="0"/>
      <w:sz w:val="18"/>
    </w:rPr>
  </w:style>
  <w:style w:type="character" w:customStyle="1" w:styleId="ListLabel43">
    <w:name w:val="ListLabel 43"/>
    <w:qFormat/>
    <w:rPr>
      <w:b w:val="0"/>
      <w:i w:val="0"/>
      <w:sz w:val="24"/>
    </w:rPr>
  </w:style>
  <w:style w:type="character" w:customStyle="1" w:styleId="ListLabel44">
    <w:name w:val="ListLabel 44"/>
    <w:qFormat/>
    <w:rPr>
      <w:b w:val="0"/>
      <w:i w:val="0"/>
      <w:sz w:val="24"/>
    </w:rPr>
  </w:style>
  <w:style w:type="character" w:customStyle="1" w:styleId="ListLabel45">
    <w:name w:val="ListLabel 45"/>
    <w:qFormat/>
    <w:rPr>
      <w:b w:val="0"/>
      <w:i w:val="0"/>
      <w:sz w:val="24"/>
    </w:rPr>
  </w:style>
  <w:style w:type="character" w:customStyle="1" w:styleId="ListLabel46">
    <w:name w:val="ListLabel 46"/>
    <w:qFormat/>
    <w:rPr>
      <w:b/>
      <w:i w:val="0"/>
      <w:caps w:val="0"/>
      <w:smallCaps w:val="0"/>
      <w:strike w:val="0"/>
      <w:dstrike w:val="0"/>
      <w:vanish w:val="0"/>
      <w:color w:val="000000"/>
      <w:position w:val="0"/>
      <w:sz w:val="24"/>
      <w:vertAlign w:val="baseline"/>
    </w:rPr>
  </w:style>
  <w:style w:type="character" w:customStyle="1" w:styleId="ListLabel47">
    <w:name w:val="ListLabel 47"/>
    <w:qFormat/>
    <w:rPr>
      <w:b/>
      <w:i w:val="0"/>
      <w:sz w:val="24"/>
    </w:rPr>
  </w:style>
  <w:style w:type="character" w:customStyle="1" w:styleId="ListLabel48">
    <w:name w:val="ListLabel 48"/>
    <w:qFormat/>
    <w:rPr>
      <w:b/>
      <w:i w:val="0"/>
      <w:sz w:val="24"/>
    </w:rPr>
  </w:style>
  <w:style w:type="character" w:customStyle="1" w:styleId="ListLabel49">
    <w:name w:val="ListLabel 49"/>
    <w:qFormat/>
    <w:rPr>
      <w:b/>
      <w:i w:val="0"/>
      <w:sz w:val="36"/>
    </w:rPr>
  </w:style>
  <w:style w:type="character" w:customStyle="1" w:styleId="ListLabel50">
    <w:name w:val="ListLabel 50"/>
    <w:qFormat/>
    <w:rPr>
      <w:b/>
      <w:i w:val="0"/>
      <w:sz w:val="32"/>
    </w:rPr>
  </w:style>
  <w:style w:type="character" w:customStyle="1" w:styleId="ListLabel51">
    <w:name w:val="ListLabel 51"/>
    <w:qFormat/>
    <w:rPr>
      <w:b/>
      <w:i w:val="0"/>
      <w:sz w:val="28"/>
    </w:rPr>
  </w:style>
  <w:style w:type="character" w:customStyle="1" w:styleId="ListLabel52">
    <w:name w:val="ListLabel 52"/>
    <w:qFormat/>
    <w:rPr>
      <w:b/>
      <w:i w:val="0"/>
      <w:caps w:val="0"/>
      <w:smallCaps w:val="0"/>
      <w:strike w:val="0"/>
      <w:dstrike w:val="0"/>
      <w:vanish w:val="0"/>
      <w:color w:val="000000"/>
      <w:position w:val="0"/>
      <w:sz w:val="26"/>
      <w:vertAlign w:val="baseline"/>
    </w:rPr>
  </w:style>
  <w:style w:type="character" w:customStyle="1" w:styleId="ListLabel53">
    <w:name w:val="ListLabel 53"/>
    <w:qFormat/>
    <w:rPr>
      <w:b w:val="0"/>
      <w:i/>
      <w:sz w:val="26"/>
    </w:rPr>
  </w:style>
  <w:style w:type="character" w:customStyle="1" w:styleId="ListLabel54">
    <w:name w:val="ListLabel 54"/>
    <w:qFormat/>
    <w:rPr>
      <w:b w:val="0"/>
      <w:i/>
      <w:sz w:val="26"/>
    </w:rPr>
  </w:style>
  <w:style w:type="character" w:customStyle="1" w:styleId="ListLabel55">
    <w:name w:val="ListLabel 55"/>
    <w:qFormat/>
    <w:rPr>
      <w:b w:val="0"/>
      <w:i/>
      <w:sz w:val="24"/>
    </w:rPr>
  </w:style>
  <w:style w:type="character" w:customStyle="1" w:styleId="ListLabel56">
    <w:name w:val="ListLabel 56"/>
    <w:qFormat/>
    <w:rPr>
      <w:rFonts w:cs="Times New Roman"/>
    </w:rPr>
  </w:style>
  <w:style w:type="character" w:customStyle="1" w:styleId="ListLabel57">
    <w:name w:val="ListLabel 57"/>
    <w:qFormat/>
    <w:rPr>
      <w:b/>
      <w:i w:val="0"/>
      <w:sz w:val="20"/>
    </w:rPr>
  </w:style>
  <w:style w:type="character" w:customStyle="1" w:styleId="ListLabel58">
    <w:name w:val="ListLabel 58"/>
    <w:qFormat/>
    <w:rPr>
      <w:b/>
      <w:i w:val="0"/>
      <w:sz w:val="22"/>
    </w:rPr>
  </w:style>
  <w:style w:type="character" w:customStyle="1" w:styleId="ListLabel59">
    <w:name w:val="ListLabel 59"/>
    <w:qFormat/>
    <w:rPr>
      <w:b w:val="0"/>
      <w:i w:val="0"/>
      <w:sz w:val="16"/>
    </w:rPr>
  </w:style>
  <w:style w:type="character" w:customStyle="1" w:styleId="ListLabel60">
    <w:name w:val="ListLabel 60"/>
    <w:qFormat/>
    <w:rPr>
      <w:b w:val="0"/>
      <w:i w:val="0"/>
      <w:sz w:val="22"/>
    </w:rPr>
  </w:style>
  <w:style w:type="character" w:customStyle="1" w:styleId="ListLabel61">
    <w:name w:val="ListLabel 61"/>
    <w:qFormat/>
    <w:rPr>
      <w:b w:val="0"/>
      <w:i w:val="0"/>
      <w:sz w:val="20"/>
    </w:rPr>
  </w:style>
  <w:style w:type="character" w:customStyle="1" w:styleId="ListLabel62">
    <w:name w:val="ListLabel 62"/>
    <w:qFormat/>
    <w:rPr>
      <w:b w:val="0"/>
      <w:i/>
      <w:sz w:val="20"/>
    </w:rPr>
  </w:style>
  <w:style w:type="character" w:customStyle="1" w:styleId="ListLabel63">
    <w:name w:val="ListLabel 63"/>
    <w:qFormat/>
    <w:rPr>
      <w:b w:val="0"/>
      <w:i/>
      <w:sz w:val="20"/>
    </w:rPr>
  </w:style>
  <w:style w:type="character" w:customStyle="1" w:styleId="ListLabel64">
    <w:name w:val="ListLabel 64"/>
    <w:qFormat/>
    <w:rPr>
      <w:b w:val="0"/>
      <w:i w:val="0"/>
      <w:sz w:val="18"/>
    </w:rPr>
  </w:style>
  <w:style w:type="character" w:customStyle="1" w:styleId="ListLabel65">
    <w:name w:val="ListLabel 65"/>
    <w:qFormat/>
    <w:rPr>
      <w:b w:val="0"/>
      <w:i w:val="0"/>
      <w:sz w:val="18"/>
    </w:rPr>
  </w:style>
  <w:style w:type="character" w:customStyle="1" w:styleId="ListLabel66">
    <w:name w:val="ListLabel 66"/>
    <w:qFormat/>
    <w:rPr>
      <w:b/>
      <w:i w:val="0"/>
      <w:sz w:val="16"/>
    </w:rPr>
  </w:style>
  <w:style w:type="character" w:customStyle="1" w:styleId="ListLabel67">
    <w:name w:val="ListLabel 67"/>
    <w:qFormat/>
    <w:rPr>
      <w:b/>
      <w:i w:val="0"/>
      <w:sz w:val="16"/>
    </w:rPr>
  </w:style>
  <w:style w:type="character" w:customStyle="1" w:styleId="ListLabel68">
    <w:name w:val="ListLabel 68"/>
    <w:qFormat/>
    <w:rPr>
      <w:b w:val="0"/>
      <w:i w:val="0"/>
      <w:sz w:val="16"/>
    </w:rPr>
  </w:style>
  <w:style w:type="character" w:customStyle="1" w:styleId="ListLabel69">
    <w:name w:val="ListLabel 69"/>
    <w:qFormat/>
    <w:rPr>
      <w:b w:val="0"/>
      <w:i w:val="0"/>
      <w:sz w:val="22"/>
    </w:rPr>
  </w:style>
  <w:style w:type="character" w:customStyle="1" w:styleId="ListLabel70">
    <w:name w:val="ListLabel 70"/>
    <w:qFormat/>
    <w:rPr>
      <w:b w:val="0"/>
      <w:i w:val="0"/>
      <w:sz w:val="20"/>
    </w:rPr>
  </w:style>
  <w:style w:type="character" w:customStyle="1" w:styleId="ListLabel71">
    <w:name w:val="ListLabel 71"/>
    <w:qFormat/>
    <w:rPr>
      <w:b w:val="0"/>
      <w:i/>
      <w:sz w:val="20"/>
    </w:rPr>
  </w:style>
  <w:style w:type="character" w:customStyle="1" w:styleId="ListLabel72">
    <w:name w:val="ListLabel 72"/>
    <w:qFormat/>
    <w:rPr>
      <w:b w:val="0"/>
      <w:i/>
      <w:sz w:val="20"/>
    </w:rPr>
  </w:style>
  <w:style w:type="character" w:customStyle="1" w:styleId="ListLabel73">
    <w:name w:val="ListLabel 73"/>
    <w:qFormat/>
    <w:rPr>
      <w:b w:val="0"/>
      <w:i w:val="0"/>
      <w:sz w:val="18"/>
    </w:rPr>
  </w:style>
  <w:style w:type="character" w:customStyle="1" w:styleId="ListLabel74">
    <w:name w:val="ListLabel 74"/>
    <w:qFormat/>
    <w:rPr>
      <w:b w:val="0"/>
      <w:i w:val="0"/>
      <w:sz w:val="18"/>
    </w:rPr>
  </w:style>
  <w:style w:type="character" w:customStyle="1" w:styleId="ListLabel75">
    <w:name w:val="ListLabel 75"/>
    <w:qFormat/>
    <w:rPr>
      <w:rFonts w:cs="Times New Roman"/>
      <w:b w:val="0"/>
      <w:i w:val="0"/>
      <w:sz w:val="20"/>
      <w:szCs w:val="2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color w:val="auto"/>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i w:val="0"/>
      <w:sz w:val="36"/>
    </w:rPr>
  </w:style>
  <w:style w:type="character" w:customStyle="1" w:styleId="ListLabel87">
    <w:name w:val="ListLabel 87"/>
    <w:qFormat/>
    <w:rPr>
      <w:b/>
      <w:i w:val="0"/>
      <w:sz w:val="32"/>
    </w:rPr>
  </w:style>
  <w:style w:type="character" w:customStyle="1" w:styleId="ListLabel88">
    <w:name w:val="ListLabel 88"/>
    <w:qFormat/>
    <w:rPr>
      <w:b/>
      <w:i w:val="0"/>
      <w:sz w:val="28"/>
    </w:rPr>
  </w:style>
  <w:style w:type="character" w:customStyle="1" w:styleId="ListLabel89">
    <w:name w:val="ListLabel 89"/>
    <w:qFormat/>
    <w:rPr>
      <w:b/>
      <w:i w:val="0"/>
      <w:sz w:val="26"/>
    </w:rPr>
  </w:style>
  <w:style w:type="character" w:customStyle="1" w:styleId="ListLabel90">
    <w:name w:val="ListLabel 90"/>
    <w:qFormat/>
    <w:rPr>
      <w:b w:val="0"/>
      <w:i/>
      <w:sz w:val="26"/>
    </w:rPr>
  </w:style>
  <w:style w:type="character" w:customStyle="1" w:styleId="ListLabel91">
    <w:name w:val="ListLabel 91"/>
    <w:qFormat/>
    <w:rPr>
      <w:sz w:val="24"/>
    </w:rPr>
  </w:style>
  <w:style w:type="character" w:customStyle="1" w:styleId="ListLabel92">
    <w:name w:val="ListLabel 92"/>
    <w:qFormat/>
    <w:rPr>
      <w:b/>
      <w:i w:val="0"/>
      <w:sz w:val="36"/>
    </w:rPr>
  </w:style>
  <w:style w:type="character" w:customStyle="1" w:styleId="ListLabel93">
    <w:name w:val="ListLabel 93"/>
    <w:qFormat/>
    <w:rPr>
      <w:b/>
      <w:i w:val="0"/>
      <w:sz w:val="32"/>
    </w:rPr>
  </w:style>
  <w:style w:type="character" w:customStyle="1" w:styleId="ListLabel94">
    <w:name w:val="ListLabel 94"/>
    <w:qFormat/>
    <w:rPr>
      <w:b/>
      <w:i w:val="0"/>
      <w:sz w:val="28"/>
    </w:rPr>
  </w:style>
  <w:style w:type="character" w:customStyle="1" w:styleId="ListLabel95">
    <w:name w:val="ListLabel 95"/>
    <w:qFormat/>
    <w:rPr>
      <w:b/>
      <w:i w:val="0"/>
      <w:caps w:val="0"/>
      <w:smallCaps w:val="0"/>
      <w:strike w:val="0"/>
      <w:dstrike w:val="0"/>
      <w:vanish w:val="0"/>
      <w:color w:val="000000"/>
      <w:position w:val="0"/>
      <w:sz w:val="26"/>
      <w:vertAlign w:val="baseline"/>
    </w:rPr>
  </w:style>
  <w:style w:type="character" w:customStyle="1" w:styleId="ListLabel96">
    <w:name w:val="ListLabel 96"/>
    <w:qFormat/>
    <w:rPr>
      <w:b w:val="0"/>
      <w:i/>
      <w:sz w:val="26"/>
    </w:rPr>
  </w:style>
  <w:style w:type="character" w:customStyle="1" w:styleId="ListLabel97">
    <w:name w:val="ListLabel 97"/>
    <w:qFormat/>
    <w:rPr>
      <w:b w:val="0"/>
      <w:i/>
      <w:sz w:val="26"/>
    </w:rPr>
  </w:style>
  <w:style w:type="character" w:customStyle="1" w:styleId="ListLabel98">
    <w:name w:val="ListLabel 98"/>
    <w:qFormat/>
    <w:rPr>
      <w:b w:val="0"/>
      <w:i/>
      <w:sz w:val="24"/>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b/>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rPr>
  </w:style>
  <w:style w:type="character" w:customStyle="1" w:styleId="ListLabel111">
    <w:name w:val="ListLabel 111"/>
    <w:qFormat/>
  </w:style>
  <w:style w:type="character" w:customStyle="1" w:styleId="ListLabel112">
    <w:name w:val="ListLabel 112"/>
    <w:qFormat/>
    <w:rPr>
      <w:rFonts w:ascii="Arial" w:hAnsi="Arial" w:cs="Arial"/>
      <w:sz w:val="20"/>
      <w:szCs w:val="20"/>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next w:val="Normal"/>
    <w:qFormat/>
    <w:rPr>
      <w:b/>
      <w:bCs/>
      <w:sz w:val="20"/>
    </w:rPr>
  </w:style>
  <w:style w:type="paragraph" w:customStyle="1" w:styleId="Index">
    <w:name w:val="Index"/>
    <w:basedOn w:val="Normal"/>
    <w:qFormat/>
    <w:pPr>
      <w:suppressLineNumbers/>
    </w:pPr>
    <w:rPr>
      <w:rFonts w:cs="Lohit Devanagari"/>
    </w:rPr>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rsid w:val="00BA45DB"/>
    <w:pPr>
      <w:keepNext/>
      <w:tabs>
        <w:tab w:val="left" w:pos="540"/>
      </w:tabs>
      <w:spacing w:after="280"/>
      <w:jc w:val="center"/>
      <w:outlineLvl w:val="0"/>
    </w:pPr>
    <w:rPr>
      <w:rFonts w:ascii="Arial" w:hAnsi="Arial" w:cs="Arial"/>
      <w:b/>
      <w:sz w:val="32"/>
      <w:szCs w:val="32"/>
    </w:rPr>
  </w:style>
  <w:style w:type="paragraph" w:customStyle="1" w:styleId="AppHeading2">
    <w:name w:val="AppHeading 2"/>
    <w:basedOn w:val="Heading2"/>
    <w:next w:val="Normal"/>
    <w:qFormat/>
    <w:rsid w:val="00050181"/>
  </w:style>
  <w:style w:type="paragraph" w:customStyle="1" w:styleId="AppHeading3">
    <w:name w:val="AppHeading 3"/>
    <w:next w:val="Normal"/>
    <w:qFormat/>
    <w:pPr>
      <w:keepNext/>
      <w:tabs>
        <w:tab w:val="left" w:pos="900"/>
      </w:tabs>
      <w:spacing w:before="240" w:after="80"/>
      <w:ind w:left="900" w:hanging="900"/>
    </w:pPr>
    <w:rPr>
      <w:rFonts w:ascii="Arial Narrow" w:hAnsi="Arial Narrow"/>
      <w:b/>
      <w:sz w:val="28"/>
    </w:rPr>
  </w:style>
  <w:style w:type="paragraph" w:customStyle="1" w:styleId="AppHeading4">
    <w:name w:val="AppHeading 4"/>
    <w:next w:val="Normal"/>
    <w:qFormat/>
    <w:pPr>
      <w:tabs>
        <w:tab w:val="left" w:pos="1080"/>
      </w:tabs>
      <w:spacing w:before="24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spacing w:before="80" w:after="80"/>
    </w:pPr>
  </w:style>
  <w:style w:type="paragraph" w:customStyle="1" w:styleId="BulletListMultipleLast">
    <w:name w:val="Bullet List Multiple Last"/>
    <w:next w:val="Normal"/>
    <w:qFormat/>
    <w:pPr>
      <w:spacing w:before="80" w:after="280"/>
    </w:pPr>
  </w:style>
  <w:style w:type="paragraph" w:customStyle="1" w:styleId="BulletListSingle">
    <w:name w:val="Bullet List Single"/>
    <w:qFormat/>
    <w:pPr>
      <w:spacing w:before="60"/>
    </w:pPr>
  </w:style>
  <w:style w:type="paragraph" w:customStyle="1" w:styleId="BulletListSingleLast">
    <w:name w:val="Bullet List Single Last"/>
    <w:next w:val="Normal"/>
    <w:qFormat/>
    <w:pPr>
      <w:spacing w:before="60" w:after="280"/>
    </w:pPr>
  </w:style>
  <w:style w:type="paragraph" w:customStyle="1" w:styleId="Classification">
    <w:name w:val="Classification"/>
    <w:qFormat/>
    <w:pPr>
      <w:jc w:val="right"/>
    </w:pPr>
    <w:rPr>
      <w:rFonts w:ascii="Arial Narrow" w:hAnsi="Arial Narrow"/>
      <w:b/>
      <w:sz w:val="32"/>
    </w:rPr>
  </w:style>
  <w:style w:type="paragraph" w:customStyle="1" w:styleId="DocTitle">
    <w:name w:val="Doc Title"/>
    <w:qFormat/>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rPr>
      <w:rFonts w:ascii="Arial" w:hAnsi="Arial"/>
      <w:sz w:val="16"/>
    </w:rPr>
  </w:style>
  <w:style w:type="paragraph" w:customStyle="1" w:styleId="ESFigureCaption">
    <w:name w:val="ES FigureCaption"/>
    <w:next w:val="Normal"/>
    <w:qFormat/>
    <w:pPr>
      <w:keepNext/>
      <w:spacing w:after="240"/>
      <w:jc w:val="center"/>
    </w:pPr>
    <w:rPr>
      <w:rFonts w:ascii="Arial Narrow" w:hAnsi="Arial Narrow"/>
      <w:b/>
    </w:rPr>
  </w:style>
  <w:style w:type="paragraph" w:customStyle="1" w:styleId="ESTableCaption">
    <w:name w:val="ES TableCaption"/>
    <w:next w:val="Normal"/>
    <w:qFormat/>
    <w:pPr>
      <w:keepNext/>
      <w:spacing w:before="240"/>
      <w:jc w:val="center"/>
    </w:pPr>
    <w:rPr>
      <w:rFonts w:ascii="Arial Narrow" w:hAnsi="Arial Narrow"/>
      <w:b/>
    </w:rPr>
  </w:style>
  <w:style w:type="paragraph" w:customStyle="1" w:styleId="ESHeading1">
    <w:name w:val="ESHeading 1"/>
    <w:qFormat/>
    <w:pPr>
      <w:keepNext/>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outlineLvl w:val="3"/>
    </w:pPr>
    <w:rPr>
      <w:rFonts w:ascii="Arial Narrow" w:hAnsi="Arial Narrow"/>
      <w:b/>
      <w:color w:val="1F497D" w:themeColor="text2"/>
      <w:sz w:val="26"/>
      <w:szCs w:val="26"/>
    </w:rPr>
  </w:style>
  <w:style w:type="paragraph" w:customStyle="1" w:styleId="ESHeading5">
    <w:name w:val="ESHeading 5"/>
    <w:qFormat/>
    <w:pPr>
      <w:tabs>
        <w:tab w:val="left" w:pos="360"/>
      </w:tabs>
    </w:pPr>
    <w:rPr>
      <w:rFonts w:ascii="Arial Narrow" w:hAnsi="Arial Narrow"/>
      <w:i/>
      <w:sz w:val="26"/>
    </w:rPr>
  </w:style>
  <w:style w:type="paragraph" w:customStyle="1" w:styleId="ESHeading6">
    <w:name w:val="ESHeading 6"/>
    <w:qFormat/>
    <w:pPr>
      <w:keepNext/>
      <w:tabs>
        <w:tab w:val="left" w:pos="360"/>
      </w:tabs>
    </w:pPr>
    <w:rPr>
      <w:rFonts w:ascii="Arial Narrow" w:hAnsi="Arial Narrow"/>
    </w:rPr>
  </w:style>
  <w:style w:type="paragraph" w:customStyle="1" w:styleId="ESHeading7">
    <w:name w:val="ESHeading 7"/>
    <w:qFormat/>
    <w:pPr>
      <w:tabs>
        <w:tab w:val="left" w:pos="360"/>
      </w:tabs>
    </w:pPr>
    <w:rPr>
      <w:rFonts w:ascii="Arial Narrow" w:hAnsi="Arial Narrow"/>
    </w:rPr>
  </w:style>
  <w:style w:type="paragraph" w:customStyle="1" w:styleId="Figure">
    <w:name w:val="Figure"/>
    <w:next w:val="FigureCaption"/>
    <w:qFormat/>
    <w:rsid w:val="003F6EAC"/>
    <w:pPr>
      <w:keepNext/>
    </w:pPr>
    <w:rPr>
      <w:rFonts w:ascii="Arial" w:hAnsi="Arial" w:cs="Arial"/>
      <w:b/>
      <w:sz w:val="20"/>
      <w:szCs w:val="20"/>
    </w:rPr>
  </w:style>
  <w:style w:type="paragraph" w:customStyle="1" w:styleId="FigureCaption">
    <w:name w:val="FigureCaption"/>
    <w:next w:val="Normal"/>
    <w:qFormat/>
    <w:pPr>
      <w:spacing w:before="100" w:after="400"/>
      <w:jc w:val="center"/>
    </w:pPr>
    <w:rPr>
      <w:rFonts w:ascii="Arial Narrow" w:hAnsi="Arial Narrow"/>
      <w:b/>
    </w:rPr>
  </w:style>
  <w:style w:type="paragraph" w:customStyle="1" w:styleId="FigureTableTOC">
    <w:name w:val="Figure/Table/TOC"/>
    <w:basedOn w:val="Normal"/>
    <w:qFormat/>
    <w:pPr>
      <w:tabs>
        <w:tab w:val="right" w:pos="8914"/>
      </w:tabs>
      <w:ind w:left="360"/>
    </w:pPr>
    <w:rPr>
      <w:rFonts w:ascii="Arial" w:hAnsi="Arial"/>
      <w:b/>
      <w:sz w:val="22"/>
    </w:rPr>
  </w:style>
  <w:style w:type="paragraph" w:styleId="Footer">
    <w:name w:val="footer"/>
    <w:pPr>
      <w:pBdr>
        <w:top w:val="single" w:sz="4" w:space="4" w:color="000000"/>
      </w:pBdr>
      <w:tabs>
        <w:tab w:val="center" w:pos="4680"/>
        <w:tab w:val="right" w:pos="9360"/>
      </w:tabs>
    </w:pPr>
    <w:rPr>
      <w:rFonts w:ascii="Arial Narrow" w:hAnsi="Arial Narrow"/>
      <w:sz w:val="18"/>
    </w:rPr>
  </w:style>
  <w:style w:type="paragraph" w:customStyle="1" w:styleId="Footer2">
    <w:name w:val="Footer2"/>
    <w:next w:val="Normal"/>
    <w:qFormat/>
    <w:pPr>
      <w:jc w:val="center"/>
    </w:pPr>
    <w:rPr>
      <w:rFonts w:ascii="Arial" w:hAnsi="Arial"/>
      <w:b/>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style>
  <w:style w:type="paragraph" w:customStyle="1" w:styleId="GlossaryTerm">
    <w:name w:val="GlossaryTerm"/>
    <w:qFormat/>
    <w:rPr>
      <w:b/>
    </w:rPr>
  </w:style>
  <w:style w:type="paragraph" w:styleId="Header">
    <w:name w:val="header"/>
    <w:pPr>
      <w:tabs>
        <w:tab w:val="center" w:pos="4320"/>
      </w:tabs>
      <w:jc w:val="center"/>
    </w:pPr>
    <w:rPr>
      <w:rFonts w:ascii="Arial" w:hAnsi="Arial"/>
      <w:b/>
    </w:rPr>
  </w:style>
  <w:style w:type="paragraph" w:customStyle="1" w:styleId="Header2">
    <w:name w:val="Header2"/>
    <w:qFormat/>
    <w:pPr>
      <w:pBdr>
        <w:bottom w:val="single" w:sz="4" w:space="1" w:color="000000"/>
      </w:pBdr>
      <w:tabs>
        <w:tab w:val="right" w:pos="9360"/>
      </w:tabs>
      <w:spacing w:after="240"/>
    </w:pPr>
    <w:rPr>
      <w:rFonts w:ascii="Arial Narrow" w:hAnsi="Arial Narrow"/>
      <w:sz w:val="18"/>
    </w:rPr>
  </w:style>
  <w:style w:type="paragraph" w:customStyle="1" w:styleId="Authors">
    <w:name w:val="Authors"/>
    <w:basedOn w:val="ProgramName"/>
    <w:qFormat/>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paragraph" w:customStyle="1" w:styleId="PubDate">
    <w:name w:val="PubDate"/>
    <w:qFormat/>
    <w:pPr>
      <w:spacing w:before="480" w:after="240"/>
    </w:pPr>
    <w:rPr>
      <w:rFonts w:ascii="Arial Narrow" w:hAnsi="Arial Narrow"/>
      <w:b/>
      <w:sz w:val="32"/>
    </w:rPr>
  </w:style>
  <w:style w:type="paragraph" w:customStyle="1" w:styleId="Quotation">
    <w:name w:val="Quotation"/>
    <w:next w:val="Normal"/>
    <w:qFormat/>
    <w:pPr>
      <w:ind w:left="720" w:right="720"/>
    </w:pPr>
  </w:style>
  <w:style w:type="paragraph" w:customStyle="1" w:styleId="BulletList-SecondLevel">
    <w:name w:val="Bullet List - Second Level"/>
    <w:basedOn w:val="Normal"/>
    <w:qFormat/>
    <w:pPr>
      <w:spacing w:before="0" w:after="0"/>
    </w:pPr>
  </w:style>
  <w:style w:type="paragraph" w:customStyle="1" w:styleId="TableBullet">
    <w:name w:val="TableBullet"/>
    <w:qFormat/>
    <w:pPr>
      <w:spacing w:before="20" w:after="20"/>
    </w:pPr>
    <w:rPr>
      <w:rFonts w:ascii="Arial" w:hAnsi="Arial"/>
    </w:rPr>
  </w:style>
  <w:style w:type="paragraph" w:customStyle="1" w:styleId="TableTextSmaller">
    <w:name w:val="Table Text Smaller"/>
    <w:qFormat/>
    <w:pPr>
      <w:spacing w:before="40" w:after="40"/>
    </w:pPr>
    <w:rPr>
      <w:rFonts w:ascii="Arial" w:hAnsi="Arial"/>
      <w:sz w:val="16"/>
    </w:rPr>
  </w:style>
  <w:style w:type="paragraph" w:customStyle="1" w:styleId="TableCaption">
    <w:name w:val="TableCaption"/>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qFormat/>
    <w:pPr>
      <w:tabs>
        <w:tab w:val="decimal" w:pos="1292"/>
      </w:tabs>
      <w:spacing w:before="40" w:after="40"/>
    </w:pPr>
    <w:rPr>
      <w:rFonts w:ascii="Arial" w:hAnsi="Arial"/>
      <w:sz w:val="18"/>
    </w:rPr>
  </w:style>
  <w:style w:type="paragraph" w:customStyle="1" w:styleId="TableDivHead2">
    <w:name w:val="TableDivHead2"/>
    <w:next w:val="Normal"/>
    <w:qFormat/>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qFormat/>
    <w:pPr>
      <w:keepNext/>
      <w:widowControl w:val="0"/>
      <w:spacing w:before="40" w:after="40"/>
    </w:pPr>
    <w:rPr>
      <w:rFonts w:ascii="Arial" w:hAnsi="Arial"/>
      <w:b/>
    </w:rPr>
  </w:style>
  <w:style w:type="paragraph" w:customStyle="1" w:styleId="TableText">
    <w:name w:val="TableText"/>
    <w:link w:val="TableTextChar"/>
    <w:qFormat/>
    <w:pPr>
      <w:spacing w:before="40" w:after="40"/>
    </w:pPr>
    <w:rPr>
      <w:rFonts w:ascii="Arial" w:hAnsi="Arial"/>
    </w:rPr>
  </w:style>
  <w:style w:type="paragraph" w:customStyle="1" w:styleId="TableVerticalHeading">
    <w:name w:val="TableVerticalHeading"/>
    <w:qFormat/>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ind w:left="360" w:hanging="360"/>
    </w:pPr>
    <w:rPr>
      <w:b/>
      <w:sz w:val="26"/>
    </w:rPr>
  </w:style>
  <w:style w:type="paragraph" w:styleId="TOC2">
    <w:name w:val="toc 2"/>
    <w:next w:val="Normal"/>
    <w:uiPriority w:val="39"/>
    <w:pPr>
      <w:tabs>
        <w:tab w:val="left" w:pos="1080"/>
        <w:tab w:val="right" w:leader="dot" w:pos="9360"/>
      </w:tabs>
      <w:ind w:left="936" w:hanging="576"/>
    </w:p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qFormat/>
    <w:pPr>
      <w:spacing w:before="480" w:after="240"/>
    </w:pPr>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style>
  <w:style w:type="paragraph" w:customStyle="1" w:styleId="Disclaimer">
    <w:name w:val="Disclaimer"/>
    <w:qFormat/>
    <w:pPr>
      <w:spacing w:before="60" w:after="60"/>
    </w:pPr>
    <w:rPr>
      <w:rFonts w:ascii="Arial Narrow" w:hAnsi="Arial Narrow"/>
      <w:sz w:val="22"/>
    </w:rPr>
  </w:style>
  <w:style w:type="paragraph" w:customStyle="1" w:styleId="LineSpacer">
    <w:name w:val="Line Spacer"/>
    <w:qFormat/>
  </w:style>
  <w:style w:type="paragraph" w:customStyle="1" w:styleId="TableBulletIndented">
    <w:name w:val="TableBullet Indented"/>
    <w:qFormat/>
    <w:rPr>
      <w:rFonts w:ascii="Arial" w:hAnsi="Arial"/>
    </w:rPr>
  </w:style>
  <w:style w:type="paragraph" w:customStyle="1" w:styleId="HeaderLineSpacer">
    <w:name w:val="Header Line Spacer"/>
    <w:basedOn w:val="Header"/>
    <w:qFormat/>
    <w:pPr>
      <w:jc w:val="left"/>
    </w:pPr>
    <w:rPr>
      <w:rFonts w:ascii="Arial Narrow" w:hAnsi="Arial Narrow"/>
      <w:b w:val="0"/>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sz w:val="20"/>
    </w:rPr>
  </w:style>
  <w:style w:type="paragraph" w:customStyle="1" w:styleId="CustomerProgram">
    <w:name w:val="CustomerProgram"/>
    <w:basedOn w:val="ProgramName"/>
    <w:link w:val="CustomerProgramChar"/>
    <w:qFormat/>
    <w:pPr>
      <w:jc w:val="left"/>
    </w:pPr>
    <w:rPr>
      <w:sz w:val="32"/>
    </w:rPr>
  </w:style>
  <w:style w:type="paragraph" w:customStyle="1" w:styleId="Draft1">
    <w:name w:val="Draft1"/>
    <w:basedOn w:val="Normal"/>
    <w:qFormat/>
    <w:pPr>
      <w:spacing w:before="600" w:after="240"/>
    </w:pPr>
    <w:rPr>
      <w:rFonts w:ascii="Arial Narrow" w:hAnsi="Arial Narrow"/>
      <w:b/>
      <w:sz w:val="32"/>
    </w:rPr>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qFormat/>
    <w:rPr>
      <w:b/>
      <w:bCs/>
    </w:rPr>
  </w:style>
  <w:style w:type="paragraph" w:styleId="DocumentMap">
    <w:name w:val="Document Map"/>
    <w:basedOn w:val="Normal"/>
    <w:qFormat/>
    <w:pPr>
      <w:shd w:val="clear" w:color="auto" w:fill="000080"/>
    </w:pPr>
    <w:rPr>
      <w:rFonts w:ascii="Tahoma" w:hAnsi="Tahoma" w:cs="Tahoma"/>
      <w:sz w:val="20"/>
    </w:rPr>
  </w:style>
  <w:style w:type="paragraph" w:styleId="EndnoteText">
    <w:name w:val="endnote text"/>
    <w:basedOn w:val="Normal"/>
    <w:rPr>
      <w:sz w:val="20"/>
    </w:rPr>
  </w:style>
  <w:style w:type="paragraph" w:styleId="Index1">
    <w:name w:val="index 1"/>
    <w:basedOn w:val="Normal"/>
    <w:next w:val="Normal"/>
    <w:autoRedefine/>
    <w:qFormat/>
    <w:pPr>
      <w:ind w:left="240" w:hanging="240"/>
    </w:pPr>
  </w:style>
  <w:style w:type="paragraph" w:styleId="Index2">
    <w:name w:val="index 2"/>
    <w:basedOn w:val="Normal"/>
    <w:next w:val="Normal"/>
    <w:autoRedefine/>
    <w:qFormat/>
    <w:pPr>
      <w:ind w:left="480" w:hanging="240"/>
    </w:pPr>
  </w:style>
  <w:style w:type="paragraph" w:styleId="Index3">
    <w:name w:val="index 3"/>
    <w:basedOn w:val="Normal"/>
    <w:next w:val="Normal"/>
    <w:autoRedefine/>
    <w:qFormat/>
    <w:pPr>
      <w:ind w:left="720" w:hanging="240"/>
    </w:pPr>
  </w:style>
  <w:style w:type="paragraph" w:styleId="Index4">
    <w:name w:val="index 4"/>
    <w:basedOn w:val="Normal"/>
    <w:next w:val="Normal"/>
    <w:autoRedefine/>
    <w:qFormat/>
    <w:pPr>
      <w:ind w:left="960" w:hanging="240"/>
    </w:pPr>
  </w:style>
  <w:style w:type="paragraph" w:styleId="Index5">
    <w:name w:val="index 5"/>
    <w:basedOn w:val="Normal"/>
    <w:next w:val="Normal"/>
    <w:autoRedefine/>
    <w:qFormat/>
    <w:pPr>
      <w:ind w:left="1200" w:hanging="240"/>
    </w:pPr>
  </w:style>
  <w:style w:type="paragraph" w:styleId="Index6">
    <w:name w:val="index 6"/>
    <w:basedOn w:val="Normal"/>
    <w:next w:val="Normal"/>
    <w:autoRedefine/>
    <w:qFormat/>
    <w:pPr>
      <w:ind w:left="1440" w:hanging="240"/>
    </w:pPr>
  </w:style>
  <w:style w:type="paragraph" w:styleId="Index7">
    <w:name w:val="index 7"/>
    <w:basedOn w:val="Normal"/>
    <w:next w:val="Normal"/>
    <w:autoRedefine/>
    <w:qFormat/>
    <w:pPr>
      <w:ind w:left="1680" w:hanging="240"/>
    </w:pPr>
  </w:style>
  <w:style w:type="paragraph" w:styleId="Index8">
    <w:name w:val="index 8"/>
    <w:basedOn w:val="Normal"/>
    <w:next w:val="Normal"/>
    <w:autoRedefine/>
    <w:qFormat/>
    <w:pPr>
      <w:ind w:left="1920" w:hanging="240"/>
    </w:pPr>
  </w:style>
  <w:style w:type="paragraph" w:styleId="Index9">
    <w:name w:val="index 9"/>
    <w:basedOn w:val="Normal"/>
    <w:next w:val="Normal"/>
    <w:autoRedefine/>
    <w:qFormat/>
    <w:pPr>
      <w:ind w:left="2160" w:hanging="240"/>
    </w:pPr>
  </w:style>
  <w:style w:type="paragraph" w:styleId="IndexHeading">
    <w:name w:val="index heading"/>
    <w:basedOn w:val="Normal"/>
    <w:next w:val="Index1"/>
    <w:qFormat/>
    <w:rPr>
      <w:rFonts w:ascii="Arial" w:hAnsi="Arial" w:cs="Arial"/>
      <w:b/>
      <w:bCs/>
    </w:r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uiPriority w:val="99"/>
    <w:qFormat/>
  </w:style>
  <w:style w:type="paragraph" w:styleId="TOAHeading">
    <w:name w:val="toa heading"/>
    <w:basedOn w:val="Normal"/>
    <w:next w:val="Normal"/>
    <w:qFormat/>
    <w:rPr>
      <w:rFonts w:ascii="Arial" w:hAnsi="Arial" w:cs="Arial"/>
      <w:b/>
      <w:bCs/>
    </w:rPr>
  </w:style>
  <w:style w:type="paragraph" w:customStyle="1" w:styleId="VersionDateLineFooter">
    <w:name w:val="VersionDateLine Footer"/>
    <w:basedOn w:val="Footer"/>
    <w:qFormat/>
    <w:pPr>
      <w:spacing w:before="0"/>
    </w:pPr>
  </w:style>
  <w:style w:type="paragraph" w:customStyle="1" w:styleId="NumberedList">
    <w:name w:val="Numbered List"/>
    <w:basedOn w:val="Normal"/>
    <w:qFormat/>
  </w:style>
  <w:style w:type="paragraph" w:customStyle="1" w:styleId="NumberedListLast">
    <w:name w:val="Numbered List Last"/>
    <w:basedOn w:val="NumberedList"/>
    <w:qFormat/>
    <w:pPr>
      <w:spacing w:after="280"/>
    </w:pPr>
  </w:style>
  <w:style w:type="paragraph" w:customStyle="1" w:styleId="Instruction">
    <w:name w:val="Instruction"/>
    <w:basedOn w:val="Normal"/>
    <w:qFormat/>
    <w:rPr>
      <w:color w:val="0070C0"/>
    </w:rPr>
  </w:style>
  <w:style w:type="paragraph" w:customStyle="1" w:styleId="NumberedList2bulleted">
    <w:name w:val="Numbered List 2 (bulleted)"/>
    <w:qFormat/>
    <w:pPr>
      <w:spacing w:before="60" w:after="60"/>
      <w:ind w:left="1080"/>
    </w:pPr>
    <w:rPr>
      <w:rFonts w:eastAsiaTheme="majorEastAsia" w:cs="Arial"/>
      <w:bCs/>
      <w:kern w:val="2"/>
      <w:szCs w:val="22"/>
    </w:rPr>
  </w:style>
  <w:style w:type="paragraph" w:customStyle="1" w:styleId="TableVerticalHeading1">
    <w:name w:val="TableVerticalHeading1"/>
    <w:next w:val="TableVerticalHeading"/>
    <w:qFormat/>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paragraph" w:styleId="Bibliography">
    <w:name w:val="Bibliography"/>
    <w:basedOn w:val="Normal"/>
    <w:next w:val="Normal"/>
    <w:uiPriority w:val="37"/>
    <w:unhideWhenUsed/>
    <w:qFormat/>
    <w:rsid w:val="00E03E35"/>
  </w:style>
  <w:style w:type="paragraph" w:styleId="Revision">
    <w:name w:val="Revision"/>
    <w:uiPriority w:val="99"/>
    <w:semiHidden/>
    <w:qFormat/>
    <w:rsid w:val="006A438E"/>
  </w:style>
  <w:style w:type="paragraph" w:styleId="NormalWeb">
    <w:name w:val="Normal (Web)"/>
    <w:basedOn w:val="Normal"/>
    <w:uiPriority w:val="99"/>
    <w:unhideWhenUsed/>
    <w:qFormat/>
    <w:rsid w:val="00D10E5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1779AB"/>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7C191D"/>
    <w:rPr>
      <w:color w:val="605E5C"/>
      <w:shd w:val="clear" w:color="auto" w:fill="E1DFDD"/>
    </w:rPr>
  </w:style>
  <w:style w:type="character" w:customStyle="1" w:styleId="CommentTextChar">
    <w:name w:val="Comment Text Char"/>
    <w:basedOn w:val="DefaultParagraphFont"/>
    <w:link w:val="CommentText"/>
    <w:rsid w:val="007C191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di-cds.org/wp-content/uploads/2020/02/Warfarin-and-SSRIs-Graph-V8.pdf" TargetMode="External"/><Relationship Id="rId26" Type="http://schemas.openxmlformats.org/officeDocument/2006/relationships/hyperlink" Target="https://vsac.nlm.nih.gov/valueset/2.16.840.1.113762.1.4.1213.53/definition" TargetMode="External"/><Relationship Id="rId39" Type="http://schemas.openxmlformats.org/officeDocument/2006/relationships/hyperlink" Target="http://cql-online.esacinc.com/" TargetMode="External"/><Relationship Id="rId21" Type="http://schemas.openxmlformats.org/officeDocument/2006/relationships/hyperlink" Target="https://vsac.nlm.nih.gov/valueset/2.16.840.1.113762.1.4.1213.8/expansion/Latest" TargetMode="External"/><Relationship Id="rId34" Type="http://schemas.openxmlformats.org/officeDocument/2006/relationships/image" Target="media/image1.png"/><Relationship Id="rId42" Type="http://schemas.openxmlformats.org/officeDocument/2006/relationships/hyperlink" Target="https://hub.docker.com/r/ddicds/idia_rules" TargetMode="External"/><Relationship Id="rId47" Type="http://schemas.openxmlformats.org/officeDocument/2006/relationships/footer" Target="footer7.xml"/><Relationship Id="rId50" Type="http://schemas.openxmlformats.org/officeDocument/2006/relationships/header" Target="header8.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vsac.nlm.nih.gov/valueset/2.16.840.1.113762.1.4.1213.30/definition" TargetMode="External"/><Relationship Id="rId33" Type="http://schemas.openxmlformats.org/officeDocument/2006/relationships/hyperlink" Target="http://utahcop.az1.qualtrics.com/jfe/form/SV_8j1T8SvXGckTqD3" TargetMode="External"/><Relationship Id="rId38" Type="http://schemas.openxmlformats.org/officeDocument/2006/relationships/hyperlink" Target="https://github.com/esacinc/CQL-Formatting-and-Usage-Wiki/wiki" TargetMode="External"/><Relationship Id="rId46" Type="http://schemas.openxmlformats.org/officeDocument/2006/relationships/header" Target="header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github.com/dbmi-pitt/CQL-Testing-Framework/blob/master/pddi-rule-tests/warfarin-antidepressants/warfarin-antidepressants.zip" TargetMode="External"/><Relationship Id="rId29" Type="http://schemas.openxmlformats.org/officeDocument/2006/relationships/hyperlink" Target="https://vsac.nlm.nih.gov/valueset/2.16.840.1.113762.1.4.1213.46/definition" TargetMode="External"/><Relationship Id="rId41" Type="http://schemas.openxmlformats.org/officeDocument/2006/relationships/hyperlink" Target="https://github.com/rkboyce/iDIA_Rules/tree/ec-sql-modifiedclasses" TargetMode="Externa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sac.nlm.nih.gov/valueset/2.16.840.1.113762.1.4.1213.31/definition" TargetMode="External"/><Relationship Id="rId32" Type="http://schemas.openxmlformats.org/officeDocument/2006/relationships/hyperlink" Target="https://forums.dikb.org/t/warfarin-antidepressants/233" TargetMode="External"/><Relationship Id="rId37" Type="http://schemas.openxmlformats.org/officeDocument/2006/relationships/hyperlink" Target="https://github.com/cqframework/clinical_quality_language" TargetMode="External"/><Relationship Id="rId40" Type="http://schemas.openxmlformats.org/officeDocument/2006/relationships/hyperlink" Target="https://ecqi.healthit.gov/cql/CQ-Qs%26As" TargetMode="External"/><Relationship Id="rId45" Type="http://schemas.openxmlformats.org/officeDocument/2006/relationships/footer" Target="footer6.xml"/><Relationship Id="rId53" Type="http://schemas.openxmlformats.org/officeDocument/2006/relationships/footer" Target="footer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vsac.nlm.nih.gov/valueset/2.16.840.1.113762.1.4.1213.32/definition" TargetMode="External"/><Relationship Id="rId28" Type="http://schemas.openxmlformats.org/officeDocument/2006/relationships/hyperlink" Target="https://vsac.nlm.nih.gov/valueset/2.16.840.1.113762.1.4.1213.29/definition" TargetMode="External"/><Relationship Id="rId36" Type="http://schemas.openxmlformats.org/officeDocument/2006/relationships/hyperlink" Target="http://www.hl7.org/implement/standards/product_brief.cfm?product_id=400" TargetMode="External"/><Relationship Id="rId49" Type="http://schemas.openxmlformats.org/officeDocument/2006/relationships/hyperlink" Target="https://github.com/dbmi-pitt/CQL-Testing-Framework/blob/master/CREATING-TEST-CASES.md" TargetMode="External"/><Relationship Id="rId57"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yperlink" Target="https://github.com/rkboyce/iDIA_Rules/blob/ec-sql-modifiedclasses/src/main/resources/rules_progress/warfarin_antidepressants.drl" TargetMode="External"/><Relationship Id="rId31" Type="http://schemas.openxmlformats.org/officeDocument/2006/relationships/hyperlink" Target="https://vsac.nlm.nih.gov/valueset/2.16.840.1.113762.1.4.1213.50/definition" TargetMode="External"/><Relationship Id="rId44" Type="http://schemas.openxmlformats.org/officeDocument/2006/relationships/header" Target="header6.xml"/><Relationship Id="rId52" Type="http://schemas.openxmlformats.org/officeDocument/2006/relationships/header" Target="header9.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vsac.nlm.nih.gov/valueset/2.16.840.1.113762.1.4.1213.33/definition" TargetMode="External"/><Relationship Id="rId27" Type="http://schemas.openxmlformats.org/officeDocument/2006/relationships/hyperlink" Target="https://vsac.nlm.nih.gov/valueset/2.16.840.1.113762.1.4.1213.9/expansion/Latest" TargetMode="External"/><Relationship Id="rId30" Type="http://schemas.openxmlformats.org/officeDocument/2006/relationships/hyperlink" Target="https://vsac.nlm.nih.gov/valueset/2.16.840.1.113762.1.4.1213.52/definition" TargetMode="External"/><Relationship Id="rId35" Type="http://schemas.openxmlformats.org/officeDocument/2006/relationships/hyperlink" Target="https://ecqi.healthit.gov/cql" TargetMode="External"/><Relationship Id="rId43" Type="http://schemas.openxmlformats.org/officeDocument/2006/relationships/hyperlink" Target="https://github.com/dbmi-pitt/CQL-Testing-Framework/blob/master/pddi-rule-tests/warfarin-antidepressants/warfarin-antidepressants.zip" TargetMode="External"/><Relationship Id="rId48" Type="http://schemas.openxmlformats.org/officeDocument/2006/relationships/hyperlink" Target="https://github.com/dbmi-pitt/CQL-Testing-Framework/blob/master/README.md" TargetMode="External"/><Relationship Id="rId56" Type="http://schemas.openxmlformats.org/officeDocument/2006/relationships/header" Target="header1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6vpEmN9tkVr/4wi7VB2shmxA==">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Sharon M</dc:creator>
  <cp:lastModifiedBy>Boyce, Richard David</cp:lastModifiedBy>
  <cp:revision>34</cp:revision>
  <dcterms:created xsi:type="dcterms:W3CDTF">2020-01-08T20:32:00Z</dcterms:created>
  <dcterms:modified xsi:type="dcterms:W3CDTF">2020-08-29T15:16:00Z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DHHS</vt:lpwstr>
  </property>
  <property fmtid="{D5CDD505-2E9C-101B-9397-08002B2CF9AE}" pid="4" name="ContentTypeId">
    <vt:lpwstr>0x0101002D54338BDACD7F44AA7A231BA6CBF86C009E2DF3A836145B48AD8317569F688259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93000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URL">
    <vt:lpwstr/>
  </property>
  <property fmtid="{D5CDD505-2E9C-101B-9397-08002B2CF9AE}" pid="13" name="category">
    <vt:lpwstr>Clinical Decision Support Intellectual Property Algorithms</vt:lpwstr>
  </property>
  <property fmtid="{D5CDD505-2E9C-101B-9397-08002B2CF9AE}" pid="14" name="xd_ProgID">
    <vt:lpwstr/>
  </property>
</Properties>
</file>