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4C64C" w14:textId="77777777" w:rsidR="00491843" w:rsidRPr="00491843" w:rsidRDefault="00491843" w:rsidP="00491843">
      <w:pPr>
        <w:spacing w:before="100" w:beforeAutospacing="1" w:after="0" w:line="240" w:lineRule="auto"/>
        <w:contextualSpacing/>
        <w:jc w:val="center"/>
        <w:rPr>
          <w:rFonts w:ascii="Arial" w:eastAsia="Times New Roman" w:hAnsi="Arial" w:cs="Arial"/>
          <w:b/>
          <w:i/>
          <w:color w:val="20558A"/>
          <w:spacing w:val="-10"/>
          <w:kern w:val="28"/>
          <w:sz w:val="28"/>
          <w:szCs w:val="28"/>
        </w:rPr>
      </w:pPr>
      <w:r w:rsidRPr="00491843">
        <w:rPr>
          <w:rFonts w:ascii="Arial" w:eastAsia="Times New Roman" w:hAnsi="Arial" w:cs="Arial"/>
          <w:b/>
          <w:i/>
          <w:noProof/>
          <w:color w:val="20558A"/>
          <w:spacing w:val="-10"/>
          <w:kern w:val="28"/>
          <w:sz w:val="28"/>
          <w:szCs w:val="28"/>
        </w:rPr>
        <w:drawing>
          <wp:inline distT="0" distB="0" distL="0" distR="0" wp14:anchorId="48FC96A3" wp14:editId="1D2BBDB7">
            <wp:extent cx="2743200" cy="533235"/>
            <wp:effectExtent l="0" t="0" r="0" b="635"/>
            <wp:docPr id="9" name="Picture 8" descr="/Users/rmccready/Desktop/cdsconn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Users/rmccready/Desktop/cdsconnect_logo.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533235"/>
                    </a:xfrm>
                    <a:prstGeom prst="rect">
                      <a:avLst/>
                    </a:prstGeom>
                    <a:noFill/>
                    <a:ln>
                      <a:noFill/>
                    </a:ln>
                  </pic:spPr>
                </pic:pic>
              </a:graphicData>
            </a:graphic>
          </wp:inline>
        </w:drawing>
      </w:r>
    </w:p>
    <w:p w14:paraId="47182FCB" w14:textId="77777777" w:rsidR="00491843" w:rsidRPr="00AE3F5C" w:rsidRDefault="00776A3E" w:rsidP="00491843">
      <w:pPr>
        <w:spacing w:after="0" w:line="240" w:lineRule="auto"/>
        <w:contextualSpacing/>
        <w:jc w:val="center"/>
        <w:rPr>
          <w:rFonts w:ascii="Calibri" w:eastAsia="Times New Roman" w:hAnsi="Calibri" w:cs="Arial"/>
          <w:b/>
          <w:spacing w:val="-10"/>
          <w:kern w:val="28"/>
          <w:sz w:val="28"/>
          <w:szCs w:val="28"/>
        </w:rPr>
      </w:pPr>
      <w:r w:rsidRPr="00AE3F5C">
        <w:rPr>
          <w:rFonts w:ascii="Calibri" w:eastAsia="Times New Roman" w:hAnsi="Calibri" w:cs="Arial"/>
          <w:b/>
          <w:spacing w:val="-10"/>
          <w:kern w:val="28"/>
          <w:sz w:val="28"/>
          <w:szCs w:val="28"/>
        </w:rPr>
        <w:t>Cholesterol Management</w:t>
      </w:r>
      <w:r w:rsidR="00491843" w:rsidRPr="00AE3F5C">
        <w:rPr>
          <w:rFonts w:ascii="Calibri" w:eastAsia="Times New Roman" w:hAnsi="Calibri" w:cs="Arial"/>
          <w:b/>
          <w:spacing w:val="-10"/>
          <w:kern w:val="28"/>
          <w:sz w:val="28"/>
          <w:szCs w:val="28"/>
        </w:rPr>
        <w:t xml:space="preserve"> Work Group  </w:t>
      </w:r>
    </w:p>
    <w:p w14:paraId="05EE64F4" w14:textId="77777777" w:rsidR="00491843" w:rsidRPr="00AE3F5C" w:rsidRDefault="00491843" w:rsidP="00491843">
      <w:pPr>
        <w:spacing w:after="0" w:line="240" w:lineRule="auto"/>
        <w:contextualSpacing/>
        <w:jc w:val="center"/>
        <w:rPr>
          <w:rFonts w:ascii="Calibri" w:eastAsia="Times New Roman" w:hAnsi="Calibri" w:cs="Arial"/>
          <w:b/>
          <w:spacing w:val="-10"/>
          <w:kern w:val="28"/>
          <w:sz w:val="28"/>
          <w:szCs w:val="28"/>
        </w:rPr>
      </w:pPr>
      <w:r w:rsidRPr="00AE3F5C">
        <w:rPr>
          <w:rFonts w:ascii="Calibri" w:eastAsia="Times New Roman" w:hAnsi="Calibri" w:cs="Arial"/>
          <w:b/>
          <w:spacing w:val="-10"/>
          <w:kern w:val="28"/>
          <w:sz w:val="28"/>
          <w:szCs w:val="28"/>
        </w:rPr>
        <w:t>Meeting Summary</w:t>
      </w:r>
    </w:p>
    <w:p w14:paraId="25A38ED4" w14:textId="77777777" w:rsidR="00491843" w:rsidRPr="00491843" w:rsidRDefault="00491843" w:rsidP="00491843">
      <w:pPr>
        <w:numPr>
          <w:ilvl w:val="1"/>
          <w:numId w:val="0"/>
        </w:numPr>
        <w:spacing w:after="0" w:line="240" w:lineRule="auto"/>
        <w:jc w:val="center"/>
        <w:rPr>
          <w:rFonts w:ascii="Calibri" w:eastAsia="Times New Roman" w:hAnsi="Calibri" w:cs="Times New Roman"/>
          <w:b/>
          <w:color w:val="595959"/>
          <w:spacing w:val="15"/>
          <w:sz w:val="28"/>
          <w:szCs w:val="28"/>
        </w:rPr>
      </w:pPr>
    </w:p>
    <w:tbl>
      <w:tblPr>
        <w:tblStyle w:val="TableGridLight1"/>
        <w:tblpPr w:leftFromText="180" w:rightFromText="180" w:vertAnchor="text" w:horzAnchor="margin" w:tblpXSpec="center" w:tblpY="169"/>
        <w:tblW w:w="0" w:type="auto"/>
        <w:tblLook w:val="04A0" w:firstRow="1" w:lastRow="0" w:firstColumn="1" w:lastColumn="0" w:noHBand="0" w:noVBand="1"/>
      </w:tblPr>
      <w:tblGrid>
        <w:gridCol w:w="1345"/>
        <w:gridCol w:w="7925"/>
      </w:tblGrid>
      <w:tr w:rsidR="00491843" w:rsidRPr="00491843" w14:paraId="10F9CB0C" w14:textId="77777777" w:rsidTr="001A7D55">
        <w:tc>
          <w:tcPr>
            <w:tcW w:w="1345" w:type="dxa"/>
          </w:tcPr>
          <w:p w14:paraId="0EAB189C" w14:textId="77777777" w:rsidR="00491843" w:rsidRPr="00AE3F5C" w:rsidRDefault="00491843" w:rsidP="00491843">
            <w:pPr>
              <w:spacing w:before="40" w:after="40"/>
              <w:rPr>
                <w:rFonts w:ascii="Calibri" w:eastAsia="Times New Roman" w:hAnsi="Calibri" w:cs="Arial"/>
                <w:b/>
                <w:sz w:val="28"/>
                <w:szCs w:val="28"/>
              </w:rPr>
            </w:pPr>
            <w:r w:rsidRPr="00AE3F5C">
              <w:rPr>
                <w:rFonts w:ascii="Calibri" w:eastAsia="Times New Roman" w:hAnsi="Calibri" w:cs="Arial"/>
                <w:b/>
                <w:sz w:val="28"/>
                <w:szCs w:val="28"/>
              </w:rPr>
              <w:t>Date</w:t>
            </w:r>
          </w:p>
        </w:tc>
        <w:tc>
          <w:tcPr>
            <w:tcW w:w="7925" w:type="dxa"/>
          </w:tcPr>
          <w:p w14:paraId="54DBD7FC" w14:textId="77777777" w:rsidR="00491843" w:rsidRPr="00AE3F5C" w:rsidRDefault="00491843" w:rsidP="00491843">
            <w:pPr>
              <w:spacing w:before="40" w:after="40"/>
              <w:rPr>
                <w:rFonts w:ascii="Calibri" w:eastAsia="Times New Roman" w:hAnsi="Calibri" w:cs="Arial"/>
                <w:noProof/>
                <w:sz w:val="28"/>
                <w:szCs w:val="28"/>
              </w:rPr>
            </w:pPr>
            <w:r w:rsidRPr="00AE3F5C">
              <w:rPr>
                <w:rFonts w:ascii="Calibri" w:eastAsia="Times New Roman" w:hAnsi="Calibri" w:cs="Arial"/>
                <w:noProof/>
                <w:sz w:val="28"/>
                <w:szCs w:val="28"/>
              </w:rPr>
              <w:t>12/09/16</w:t>
            </w:r>
          </w:p>
        </w:tc>
      </w:tr>
      <w:tr w:rsidR="00491843" w:rsidRPr="00491843" w14:paraId="15EE3007" w14:textId="77777777" w:rsidTr="001A7D55">
        <w:tc>
          <w:tcPr>
            <w:tcW w:w="1345" w:type="dxa"/>
          </w:tcPr>
          <w:p w14:paraId="59EF3F6F" w14:textId="77777777" w:rsidR="00491843" w:rsidRPr="00AE3F5C" w:rsidRDefault="00491843" w:rsidP="00491843">
            <w:pPr>
              <w:spacing w:before="40" w:after="40"/>
              <w:rPr>
                <w:rFonts w:ascii="Calibri" w:eastAsia="Times New Roman" w:hAnsi="Calibri" w:cs="Arial"/>
                <w:b/>
                <w:sz w:val="28"/>
                <w:szCs w:val="28"/>
              </w:rPr>
            </w:pPr>
            <w:r w:rsidRPr="00AE3F5C">
              <w:rPr>
                <w:rFonts w:ascii="Calibri" w:eastAsia="Times New Roman" w:hAnsi="Calibri" w:cs="Arial"/>
                <w:b/>
                <w:sz w:val="28"/>
                <w:szCs w:val="28"/>
              </w:rPr>
              <w:t>Time</w:t>
            </w:r>
          </w:p>
        </w:tc>
        <w:tc>
          <w:tcPr>
            <w:tcW w:w="7925" w:type="dxa"/>
          </w:tcPr>
          <w:p w14:paraId="4A616861" w14:textId="77777777" w:rsidR="00491843" w:rsidRPr="00AE3F5C" w:rsidRDefault="00776A3E" w:rsidP="00491843">
            <w:pPr>
              <w:spacing w:before="40" w:after="40"/>
              <w:rPr>
                <w:rFonts w:ascii="Calibri" w:eastAsia="Times New Roman" w:hAnsi="Calibri" w:cs="Arial"/>
                <w:noProof/>
                <w:sz w:val="28"/>
                <w:szCs w:val="28"/>
              </w:rPr>
            </w:pPr>
            <w:r w:rsidRPr="00AE3F5C">
              <w:rPr>
                <w:rFonts w:ascii="Calibri" w:eastAsia="Times New Roman" w:hAnsi="Calibri" w:cs="Arial"/>
                <w:noProof/>
                <w:sz w:val="28"/>
                <w:szCs w:val="28"/>
              </w:rPr>
              <w:t>2:00  – 4</w:t>
            </w:r>
            <w:r w:rsidR="00491843" w:rsidRPr="00AE3F5C">
              <w:rPr>
                <w:rFonts w:ascii="Calibri" w:eastAsia="Times New Roman" w:hAnsi="Calibri" w:cs="Arial"/>
                <w:noProof/>
                <w:sz w:val="28"/>
                <w:szCs w:val="28"/>
              </w:rPr>
              <w:t>:00 PM EST</w:t>
            </w:r>
          </w:p>
        </w:tc>
      </w:tr>
    </w:tbl>
    <w:p w14:paraId="6DB52766" w14:textId="77777777" w:rsidR="00491843" w:rsidRPr="00491843" w:rsidRDefault="00491843" w:rsidP="00491843">
      <w:pPr>
        <w:spacing w:after="120" w:line="300" w:lineRule="exact"/>
        <w:rPr>
          <w:rFonts w:ascii="Times New Roman" w:eastAsia="Calibri" w:hAnsi="Times New Roman" w:cs="Times New Roman"/>
          <w:color w:val="000000"/>
          <w:kern w:val="24"/>
          <w:szCs w:val="24"/>
        </w:rPr>
      </w:pPr>
    </w:p>
    <w:p w14:paraId="59B5705C" w14:textId="77777777" w:rsidR="00491843" w:rsidRPr="00491843" w:rsidRDefault="00491843" w:rsidP="00491843">
      <w:pPr>
        <w:spacing w:after="120" w:line="300" w:lineRule="exact"/>
        <w:rPr>
          <w:rFonts w:ascii="Times New Roman" w:eastAsia="Calibri" w:hAnsi="Times New Roman" w:cs="Times New Roman"/>
          <w:color w:val="000000"/>
          <w:kern w:val="24"/>
          <w:szCs w:val="24"/>
        </w:rPr>
      </w:pPr>
    </w:p>
    <w:p w14:paraId="20A46073" w14:textId="77777777" w:rsidR="00491843" w:rsidRPr="00491843" w:rsidRDefault="00491843" w:rsidP="00491843">
      <w:pPr>
        <w:spacing w:after="120" w:line="300" w:lineRule="exact"/>
        <w:rPr>
          <w:rFonts w:ascii="Times New Roman" w:eastAsia="Calibri" w:hAnsi="Times New Roman" w:cs="Times New Roman"/>
          <w:color w:val="000000"/>
          <w:kern w:val="24"/>
          <w:szCs w:val="24"/>
        </w:rPr>
      </w:pPr>
    </w:p>
    <w:p w14:paraId="5D14EC40" w14:textId="77777777" w:rsidR="00491843" w:rsidRPr="00491843" w:rsidRDefault="00491843" w:rsidP="00491843">
      <w:pPr>
        <w:spacing w:after="120" w:line="300" w:lineRule="exact"/>
        <w:rPr>
          <w:rFonts w:ascii="Times New Roman" w:eastAsia="Calibri" w:hAnsi="Times New Roman" w:cs="Times New Roman"/>
          <w:color w:val="000000"/>
          <w:kern w:val="24"/>
          <w:szCs w:val="24"/>
        </w:rPr>
      </w:pPr>
    </w:p>
    <w:p w14:paraId="0B1B23EF" w14:textId="77777777" w:rsidR="00491843" w:rsidRPr="00491843" w:rsidRDefault="00491843" w:rsidP="00491843">
      <w:pPr>
        <w:keepNext/>
        <w:spacing w:after="0" w:line="240" w:lineRule="auto"/>
        <w:outlineLvl w:val="1"/>
        <w:rPr>
          <w:rFonts w:ascii="Calibri" w:eastAsia="Times New Roman" w:hAnsi="Calibri" w:cs="Arial"/>
          <w:b/>
          <w:color w:val="337C99"/>
          <w:sz w:val="32"/>
          <w:szCs w:val="32"/>
        </w:rPr>
      </w:pPr>
      <w:r w:rsidRPr="00491843">
        <w:rPr>
          <w:rFonts w:ascii="Calibri" w:eastAsia="Times New Roman" w:hAnsi="Calibri" w:cs="Arial"/>
          <w:b/>
          <w:color w:val="337C99"/>
          <w:sz w:val="32"/>
          <w:szCs w:val="32"/>
        </w:rPr>
        <w:t>AGENDA</w:t>
      </w:r>
    </w:p>
    <w:tbl>
      <w:tblPr>
        <w:tblStyle w:val="Table"/>
        <w:tblW w:w="9288" w:type="dxa"/>
        <w:tblBorders>
          <w:top w:val="none" w:sz="0" w:space="0" w:color="auto"/>
          <w:left w:val="none" w:sz="0" w:space="0" w:color="auto"/>
          <w:bottom w:val="none" w:sz="0" w:space="0" w:color="auto"/>
          <w:right w:val="none" w:sz="0" w:space="0" w:color="auto"/>
        </w:tblBorders>
        <w:tblLook w:val="0420" w:firstRow="1" w:lastRow="0" w:firstColumn="0" w:lastColumn="0" w:noHBand="0" w:noVBand="1"/>
      </w:tblPr>
      <w:tblGrid>
        <w:gridCol w:w="9288"/>
      </w:tblGrid>
      <w:tr w:rsidR="004861B7" w:rsidRPr="004861B7" w14:paraId="104A2A0F" w14:textId="77777777" w:rsidTr="008F7072">
        <w:trPr>
          <w:trHeight w:val="525"/>
        </w:trPr>
        <w:tc>
          <w:tcPr>
            <w:tcW w:w="9288" w:type="dxa"/>
          </w:tcPr>
          <w:p w14:paraId="2B3E4E2F" w14:textId="77777777" w:rsidR="004861B7" w:rsidRPr="00AE3F5C" w:rsidRDefault="004861B7" w:rsidP="00AE3F5C">
            <w:pPr>
              <w:numPr>
                <w:ilvl w:val="0"/>
                <w:numId w:val="12"/>
              </w:numPr>
              <w:rPr>
                <w:rFonts w:asciiTheme="minorHAnsi" w:eastAsia="Times New Roman" w:hAnsiTheme="minorHAnsi"/>
                <w:b/>
                <w:bCs/>
                <w:sz w:val="24"/>
              </w:rPr>
            </w:pPr>
            <w:r w:rsidRPr="00AE3F5C">
              <w:rPr>
                <w:rFonts w:asciiTheme="minorHAnsi" w:eastAsia="Times New Roman" w:hAnsiTheme="minorHAnsi"/>
                <w:b/>
                <w:bCs/>
                <w:sz w:val="24"/>
              </w:rPr>
              <w:t>Welcome and Introductions</w:t>
            </w:r>
          </w:p>
        </w:tc>
      </w:tr>
      <w:tr w:rsidR="004861B7" w:rsidRPr="004861B7" w14:paraId="084E7F34" w14:textId="77777777" w:rsidTr="008F7072">
        <w:trPr>
          <w:trHeight w:val="525"/>
        </w:trPr>
        <w:tc>
          <w:tcPr>
            <w:tcW w:w="9288" w:type="dxa"/>
          </w:tcPr>
          <w:p w14:paraId="083C31C8" w14:textId="77777777" w:rsidR="004861B7" w:rsidRPr="00AE3F5C" w:rsidRDefault="004861B7" w:rsidP="00AE3F5C">
            <w:pPr>
              <w:numPr>
                <w:ilvl w:val="0"/>
                <w:numId w:val="12"/>
              </w:numPr>
              <w:rPr>
                <w:rFonts w:asciiTheme="minorHAnsi" w:eastAsia="Times New Roman" w:hAnsiTheme="minorHAnsi"/>
                <w:b/>
                <w:sz w:val="24"/>
              </w:rPr>
            </w:pPr>
            <w:r w:rsidRPr="00AE3F5C">
              <w:rPr>
                <w:rFonts w:asciiTheme="minorHAnsi" w:eastAsia="Times New Roman" w:hAnsiTheme="minorHAnsi"/>
                <w:b/>
                <w:sz w:val="24"/>
              </w:rPr>
              <w:t>CDS Connect Project Overview</w:t>
            </w:r>
          </w:p>
        </w:tc>
      </w:tr>
      <w:tr w:rsidR="004861B7" w:rsidRPr="004861B7" w14:paraId="398543B7" w14:textId="77777777" w:rsidTr="008F7072">
        <w:trPr>
          <w:trHeight w:val="525"/>
        </w:trPr>
        <w:tc>
          <w:tcPr>
            <w:tcW w:w="9288" w:type="dxa"/>
          </w:tcPr>
          <w:p w14:paraId="4672B48C" w14:textId="77777777" w:rsidR="004861B7" w:rsidRPr="00AE3F5C" w:rsidRDefault="004861B7" w:rsidP="00AE3F5C">
            <w:pPr>
              <w:numPr>
                <w:ilvl w:val="0"/>
                <w:numId w:val="12"/>
              </w:numPr>
              <w:rPr>
                <w:rFonts w:asciiTheme="minorHAnsi" w:eastAsia="Times New Roman" w:hAnsiTheme="minorHAnsi"/>
                <w:b/>
                <w:sz w:val="24"/>
              </w:rPr>
            </w:pPr>
            <w:r w:rsidRPr="00AE3F5C">
              <w:rPr>
                <w:rFonts w:asciiTheme="minorHAnsi" w:eastAsia="Times New Roman" w:hAnsiTheme="minorHAnsi"/>
                <w:b/>
                <w:sz w:val="24"/>
              </w:rPr>
              <w:t>CDS Cholesterol Management Work Group Overview and Planning</w:t>
            </w:r>
          </w:p>
        </w:tc>
      </w:tr>
      <w:tr w:rsidR="004861B7" w:rsidRPr="004861B7" w14:paraId="0E6E3CE8" w14:textId="77777777" w:rsidTr="008F7072">
        <w:trPr>
          <w:trHeight w:val="525"/>
        </w:trPr>
        <w:tc>
          <w:tcPr>
            <w:tcW w:w="9288" w:type="dxa"/>
          </w:tcPr>
          <w:p w14:paraId="79460657" w14:textId="1872B27D" w:rsidR="004861B7" w:rsidRPr="00AE3F5C" w:rsidRDefault="004861B7" w:rsidP="00AE3F5C">
            <w:pPr>
              <w:numPr>
                <w:ilvl w:val="0"/>
                <w:numId w:val="12"/>
              </w:numPr>
              <w:rPr>
                <w:rFonts w:asciiTheme="minorHAnsi" w:eastAsia="Times New Roman" w:hAnsiTheme="minorHAnsi"/>
                <w:b/>
                <w:sz w:val="24"/>
              </w:rPr>
            </w:pPr>
            <w:r w:rsidRPr="00AE3F5C">
              <w:rPr>
                <w:rFonts w:asciiTheme="minorHAnsi" w:eastAsia="Times New Roman" w:hAnsiTheme="minorHAnsi"/>
                <w:b/>
                <w:sz w:val="24"/>
              </w:rPr>
              <w:t>CDS Cholesterol Management Environmental Scan Findings and Artifacts</w:t>
            </w:r>
          </w:p>
        </w:tc>
      </w:tr>
      <w:tr w:rsidR="004861B7" w:rsidRPr="004861B7" w14:paraId="3C16C253" w14:textId="77777777" w:rsidTr="008F7072">
        <w:trPr>
          <w:trHeight w:val="525"/>
        </w:trPr>
        <w:tc>
          <w:tcPr>
            <w:tcW w:w="9288" w:type="dxa"/>
          </w:tcPr>
          <w:p w14:paraId="36234927" w14:textId="77777777" w:rsidR="004861B7" w:rsidRPr="00AE3F5C" w:rsidRDefault="004861B7" w:rsidP="00AE3F5C">
            <w:pPr>
              <w:numPr>
                <w:ilvl w:val="0"/>
                <w:numId w:val="12"/>
              </w:numPr>
              <w:rPr>
                <w:rFonts w:asciiTheme="minorHAnsi" w:eastAsia="Times New Roman" w:hAnsiTheme="minorHAnsi"/>
                <w:b/>
                <w:sz w:val="24"/>
              </w:rPr>
            </w:pPr>
            <w:r w:rsidRPr="00AE3F5C">
              <w:rPr>
                <w:rFonts w:asciiTheme="minorHAnsi" w:eastAsia="Times New Roman" w:hAnsiTheme="minorHAnsi"/>
                <w:b/>
                <w:sz w:val="24"/>
              </w:rPr>
              <w:t>CDS Cholesterol Management Next Steps</w:t>
            </w:r>
          </w:p>
          <w:p w14:paraId="02BA31D7" w14:textId="77777777" w:rsidR="004861B7" w:rsidRPr="00AE3F5C" w:rsidRDefault="004861B7" w:rsidP="004861B7">
            <w:pPr>
              <w:ind w:left="340"/>
              <w:rPr>
                <w:rFonts w:asciiTheme="minorHAnsi" w:eastAsia="Times New Roman" w:hAnsiTheme="minorHAnsi"/>
                <w:b/>
                <w:sz w:val="24"/>
              </w:rPr>
            </w:pPr>
          </w:p>
        </w:tc>
      </w:tr>
    </w:tbl>
    <w:p w14:paraId="5029ACFD" w14:textId="77777777" w:rsidR="00491843" w:rsidRPr="00491843" w:rsidRDefault="00491843" w:rsidP="00491843">
      <w:pPr>
        <w:keepNext/>
        <w:spacing w:after="0" w:line="240" w:lineRule="auto"/>
        <w:outlineLvl w:val="1"/>
        <w:rPr>
          <w:rFonts w:ascii="Calibri" w:eastAsia="Times New Roman" w:hAnsi="Calibri" w:cs="Arial"/>
          <w:b/>
          <w:color w:val="337C99"/>
          <w:sz w:val="32"/>
          <w:szCs w:val="32"/>
        </w:rPr>
      </w:pPr>
    </w:p>
    <w:p w14:paraId="69DE57A6" w14:textId="77777777" w:rsidR="00491843" w:rsidRPr="00491843" w:rsidRDefault="00491843" w:rsidP="00491843">
      <w:pPr>
        <w:keepNext/>
        <w:spacing w:after="0" w:line="240" w:lineRule="auto"/>
        <w:outlineLvl w:val="1"/>
        <w:rPr>
          <w:rFonts w:ascii="Calibri" w:eastAsia="Times New Roman" w:hAnsi="Calibri" w:cs="Arial"/>
          <w:b/>
          <w:color w:val="337C99"/>
          <w:sz w:val="32"/>
          <w:szCs w:val="32"/>
        </w:rPr>
      </w:pPr>
      <w:r w:rsidRPr="00491843">
        <w:rPr>
          <w:rFonts w:ascii="Calibri" w:eastAsia="Times New Roman" w:hAnsi="Calibri" w:cs="Arial"/>
          <w:b/>
          <w:color w:val="337C99"/>
          <w:sz w:val="32"/>
          <w:szCs w:val="32"/>
        </w:rPr>
        <w:t>SUMMARY</w:t>
      </w:r>
    </w:p>
    <w:p w14:paraId="11D5712C" w14:textId="77777777" w:rsidR="00491843" w:rsidRPr="00491843" w:rsidRDefault="00491843" w:rsidP="00491843">
      <w:pPr>
        <w:spacing w:after="120" w:line="300" w:lineRule="exact"/>
        <w:rPr>
          <w:rFonts w:ascii="Times New Roman" w:eastAsia="Calibri" w:hAnsi="Times New Roman" w:cs="Times New Roman"/>
          <w:color w:val="000000"/>
          <w:kern w:val="24"/>
          <w:szCs w:val="24"/>
        </w:rPr>
      </w:pPr>
    </w:p>
    <w:p w14:paraId="44634DBF" w14:textId="77777777" w:rsidR="00491843" w:rsidRPr="00AA552C" w:rsidRDefault="00491843" w:rsidP="00491843">
      <w:pPr>
        <w:spacing w:after="0" w:line="240" w:lineRule="auto"/>
        <w:rPr>
          <w:rFonts w:ascii="Calibri" w:eastAsia="Calibri" w:hAnsi="Calibri" w:cs="Times New Roman"/>
          <w:b/>
          <w:kern w:val="24"/>
          <w:szCs w:val="24"/>
          <w:u w:val="single"/>
        </w:rPr>
      </w:pPr>
      <w:r w:rsidRPr="00AA552C">
        <w:rPr>
          <w:rFonts w:ascii="Calibri" w:eastAsia="Calibri" w:hAnsi="Calibri" w:cs="Times New Roman"/>
          <w:b/>
          <w:kern w:val="24"/>
          <w:szCs w:val="24"/>
          <w:u w:val="single"/>
        </w:rPr>
        <w:t>Welcome and Introductions</w:t>
      </w:r>
    </w:p>
    <w:p w14:paraId="30AA6B09" w14:textId="77777777" w:rsidR="00491843" w:rsidRPr="00AA552C" w:rsidRDefault="00491843" w:rsidP="00491843">
      <w:pPr>
        <w:spacing w:after="0" w:line="240" w:lineRule="auto"/>
        <w:rPr>
          <w:rFonts w:ascii="Calibri" w:eastAsia="Calibri" w:hAnsi="Calibri" w:cs="Times New Roman"/>
          <w:b/>
          <w:kern w:val="24"/>
          <w:szCs w:val="24"/>
          <w:u w:val="single"/>
        </w:rPr>
      </w:pPr>
    </w:p>
    <w:p w14:paraId="14D8F929" w14:textId="7EA9DBBD" w:rsidR="00491843" w:rsidRPr="00AA552C" w:rsidRDefault="00B22B95" w:rsidP="008704C6">
      <w:pPr>
        <w:spacing w:after="120" w:line="300" w:lineRule="exact"/>
        <w:rPr>
          <w:rFonts w:ascii="Calibri" w:eastAsia="Calibri" w:hAnsi="Calibri" w:cs="Times New Roman"/>
          <w:kern w:val="24"/>
          <w:szCs w:val="24"/>
        </w:rPr>
      </w:pPr>
      <w:r>
        <w:rPr>
          <w:rFonts w:ascii="Calibri" w:eastAsia="Calibri" w:hAnsi="Calibri" w:cs="Times New Roman"/>
          <w:kern w:val="24"/>
          <w:szCs w:val="24"/>
        </w:rPr>
        <w:t>The</w:t>
      </w:r>
      <w:r w:rsidR="00B923BA" w:rsidRPr="00AA552C">
        <w:rPr>
          <w:rFonts w:ascii="Calibri" w:eastAsia="Calibri" w:hAnsi="Calibri" w:cs="Times New Roman"/>
          <w:kern w:val="24"/>
          <w:szCs w:val="24"/>
        </w:rPr>
        <w:t xml:space="preserve"> </w:t>
      </w:r>
      <w:r w:rsidR="0051056B">
        <w:rPr>
          <w:rFonts w:ascii="Calibri" w:eastAsia="Calibri" w:hAnsi="Calibri" w:cs="Times New Roman"/>
          <w:kern w:val="24"/>
          <w:szCs w:val="24"/>
        </w:rPr>
        <w:t>CAMH</w:t>
      </w:r>
      <w:r w:rsidR="00B923BA" w:rsidRPr="00AA552C">
        <w:rPr>
          <w:rFonts w:ascii="Calibri" w:eastAsia="Calibri" w:hAnsi="Calibri" w:cs="Times New Roman"/>
          <w:kern w:val="24"/>
          <w:szCs w:val="24"/>
        </w:rPr>
        <w:t xml:space="preserve"> team</w:t>
      </w:r>
      <w:r w:rsidR="00491843" w:rsidRPr="00AA552C">
        <w:rPr>
          <w:rFonts w:ascii="Calibri" w:eastAsia="Calibri" w:hAnsi="Calibri" w:cs="Times New Roman"/>
          <w:kern w:val="24"/>
          <w:szCs w:val="24"/>
        </w:rPr>
        <w:t xml:space="preserve"> opened the CDS C</w:t>
      </w:r>
      <w:r w:rsidR="00943FA2" w:rsidRPr="00AA552C">
        <w:rPr>
          <w:rFonts w:ascii="Calibri" w:eastAsia="Calibri" w:hAnsi="Calibri" w:cs="Times New Roman"/>
          <w:kern w:val="24"/>
          <w:szCs w:val="24"/>
        </w:rPr>
        <w:t>holesterol</w:t>
      </w:r>
      <w:r w:rsidR="004861B7" w:rsidRPr="00AA552C">
        <w:rPr>
          <w:rFonts w:ascii="Calibri" w:eastAsia="Calibri" w:hAnsi="Calibri" w:cs="Times New Roman"/>
          <w:kern w:val="24"/>
          <w:szCs w:val="24"/>
        </w:rPr>
        <w:t xml:space="preserve"> Management</w:t>
      </w:r>
      <w:r w:rsidR="00491843" w:rsidRPr="00AA552C">
        <w:rPr>
          <w:rFonts w:ascii="Calibri" w:eastAsia="Calibri" w:hAnsi="Calibri" w:cs="Times New Roman"/>
          <w:kern w:val="24"/>
          <w:szCs w:val="24"/>
        </w:rPr>
        <w:t xml:space="preserve"> Work Group (WG) kick-off meeting</w:t>
      </w:r>
      <w:r w:rsidR="00B923BA" w:rsidRPr="00AA552C">
        <w:rPr>
          <w:rFonts w:ascii="Calibri" w:eastAsia="Calibri" w:hAnsi="Calibri" w:cs="Times New Roman"/>
          <w:kern w:val="24"/>
          <w:szCs w:val="24"/>
        </w:rPr>
        <w:t xml:space="preserve"> with a welcome to the Cholester</w:t>
      </w:r>
      <w:r w:rsidR="00DF6B92" w:rsidRPr="00AA552C">
        <w:rPr>
          <w:rFonts w:ascii="Calibri" w:eastAsia="Calibri" w:hAnsi="Calibri" w:cs="Times New Roman"/>
          <w:kern w:val="24"/>
          <w:szCs w:val="24"/>
        </w:rPr>
        <w:t>ol</w:t>
      </w:r>
      <w:r w:rsidR="002F4B77" w:rsidRPr="00AA552C">
        <w:rPr>
          <w:rFonts w:ascii="Calibri" w:eastAsia="Calibri" w:hAnsi="Calibri" w:cs="Times New Roman"/>
          <w:kern w:val="24"/>
          <w:szCs w:val="24"/>
        </w:rPr>
        <w:t xml:space="preserve"> Management</w:t>
      </w:r>
      <w:r w:rsidR="00DF6B92" w:rsidRPr="00AA552C">
        <w:rPr>
          <w:rFonts w:ascii="Calibri" w:eastAsia="Calibri" w:hAnsi="Calibri" w:cs="Times New Roman"/>
          <w:kern w:val="24"/>
          <w:szCs w:val="24"/>
        </w:rPr>
        <w:t xml:space="preserve"> WG members and a description of the desired behaviors WG members should demonstrate in meetings (e.g., collaborate freely with one another, utilization of the WebEx meeting tools to participate in conversations)</w:t>
      </w:r>
      <w:r>
        <w:rPr>
          <w:rFonts w:ascii="Calibri" w:eastAsia="Calibri" w:hAnsi="Calibri" w:cs="Times New Roman"/>
          <w:kern w:val="24"/>
          <w:szCs w:val="24"/>
        </w:rPr>
        <w:t>.</w:t>
      </w:r>
      <w:r w:rsidR="00491843" w:rsidRPr="00AA552C">
        <w:rPr>
          <w:rFonts w:ascii="Calibri" w:eastAsia="Calibri" w:hAnsi="Calibri" w:cs="Times New Roman"/>
          <w:kern w:val="24"/>
          <w:szCs w:val="24"/>
        </w:rPr>
        <w:t xml:space="preserve"> </w:t>
      </w:r>
      <w:r w:rsidR="00DF6B92" w:rsidRPr="00AA552C">
        <w:rPr>
          <w:rFonts w:ascii="Calibri" w:eastAsia="Calibri" w:hAnsi="Calibri" w:cs="Times New Roman"/>
          <w:kern w:val="24"/>
          <w:szCs w:val="24"/>
        </w:rPr>
        <w:t xml:space="preserve">Each of the </w:t>
      </w:r>
      <w:r w:rsidR="004861B7" w:rsidRPr="00AA552C">
        <w:rPr>
          <w:rFonts w:ascii="Calibri" w:eastAsia="Calibri" w:hAnsi="Calibri" w:cs="Times New Roman"/>
          <w:kern w:val="24"/>
          <w:szCs w:val="24"/>
        </w:rPr>
        <w:t>Cholesterol Management</w:t>
      </w:r>
      <w:r>
        <w:rPr>
          <w:rFonts w:ascii="Calibri" w:eastAsia="Calibri" w:hAnsi="Calibri" w:cs="Times New Roman"/>
          <w:kern w:val="24"/>
          <w:szCs w:val="24"/>
        </w:rPr>
        <w:t xml:space="preserve"> WG members on the call and </w:t>
      </w:r>
      <w:r w:rsidR="00DF6B92" w:rsidRPr="00AA552C">
        <w:rPr>
          <w:rFonts w:ascii="Calibri" w:eastAsia="Calibri" w:hAnsi="Calibri" w:cs="Times New Roman"/>
          <w:kern w:val="24"/>
          <w:szCs w:val="24"/>
        </w:rPr>
        <w:t xml:space="preserve">the </w:t>
      </w:r>
      <w:r w:rsidR="0051056B">
        <w:rPr>
          <w:rFonts w:ascii="Calibri" w:eastAsia="Calibri" w:hAnsi="Calibri" w:cs="Times New Roman"/>
          <w:kern w:val="24"/>
          <w:szCs w:val="24"/>
        </w:rPr>
        <w:t>CAMH</w:t>
      </w:r>
      <w:r w:rsidR="00DF6B92" w:rsidRPr="00AA552C">
        <w:rPr>
          <w:rFonts w:ascii="Calibri" w:eastAsia="Calibri" w:hAnsi="Calibri" w:cs="Times New Roman"/>
          <w:kern w:val="24"/>
          <w:szCs w:val="24"/>
        </w:rPr>
        <w:t xml:space="preserve"> team introduced themselves. </w:t>
      </w:r>
    </w:p>
    <w:p w14:paraId="1A7B8BAC" w14:textId="77777777" w:rsidR="00AA1922" w:rsidRPr="00AA552C" w:rsidRDefault="00AA1922" w:rsidP="00491843">
      <w:pPr>
        <w:spacing w:after="0" w:line="240" w:lineRule="auto"/>
        <w:rPr>
          <w:rFonts w:ascii="Calibri" w:eastAsia="Calibri" w:hAnsi="Calibri" w:cs="Times New Roman"/>
          <w:kern w:val="24"/>
          <w:szCs w:val="24"/>
        </w:rPr>
      </w:pPr>
    </w:p>
    <w:p w14:paraId="13EEB345" w14:textId="77777777" w:rsidR="00491843" w:rsidRPr="00AA552C" w:rsidRDefault="004861B7" w:rsidP="00491843">
      <w:pPr>
        <w:spacing w:after="0" w:line="240" w:lineRule="auto"/>
        <w:rPr>
          <w:rFonts w:ascii="Calibri" w:eastAsia="Calibri" w:hAnsi="Calibri" w:cs="Times New Roman"/>
          <w:b/>
          <w:kern w:val="24"/>
          <w:szCs w:val="24"/>
          <w:u w:val="single"/>
        </w:rPr>
      </w:pPr>
      <w:r w:rsidRPr="00AA552C">
        <w:rPr>
          <w:rFonts w:ascii="Calibri" w:eastAsia="Calibri" w:hAnsi="Calibri" w:cs="Times New Roman"/>
          <w:b/>
          <w:kern w:val="24"/>
          <w:szCs w:val="24"/>
          <w:u w:val="single"/>
        </w:rPr>
        <w:t>C</w:t>
      </w:r>
      <w:r w:rsidR="00491843" w:rsidRPr="00AA552C">
        <w:rPr>
          <w:rFonts w:ascii="Calibri" w:eastAsia="Calibri" w:hAnsi="Calibri" w:cs="Times New Roman"/>
          <w:b/>
          <w:kern w:val="24"/>
          <w:szCs w:val="24"/>
          <w:u w:val="single"/>
        </w:rPr>
        <w:t>DS Connect Project Overview</w:t>
      </w:r>
    </w:p>
    <w:p w14:paraId="476022A0" w14:textId="77777777" w:rsidR="00491843" w:rsidRPr="00AA552C" w:rsidRDefault="00491843" w:rsidP="00491843">
      <w:pPr>
        <w:spacing w:after="0" w:line="240" w:lineRule="auto"/>
        <w:rPr>
          <w:rFonts w:ascii="Calibri" w:eastAsia="Calibri" w:hAnsi="Calibri" w:cs="Times New Roman"/>
          <w:kern w:val="24"/>
          <w:szCs w:val="24"/>
        </w:rPr>
      </w:pPr>
    </w:p>
    <w:p w14:paraId="4E1D35AE" w14:textId="1C3EF5E3" w:rsidR="00491843" w:rsidRPr="00AA552C" w:rsidRDefault="0051056B" w:rsidP="00491843">
      <w:pPr>
        <w:spacing w:after="120" w:line="300" w:lineRule="exact"/>
        <w:rPr>
          <w:rFonts w:ascii="Calibri" w:eastAsia="Calibri" w:hAnsi="Calibri" w:cs="Times New Roman"/>
          <w:kern w:val="24"/>
          <w:szCs w:val="24"/>
        </w:rPr>
      </w:pPr>
      <w:r>
        <w:rPr>
          <w:rFonts w:ascii="Calibri" w:eastAsia="Calibri" w:hAnsi="Calibri" w:cs="Times New Roman"/>
          <w:kern w:val="24"/>
          <w:szCs w:val="24"/>
        </w:rPr>
        <w:t>CAMH</w:t>
      </w:r>
      <w:r w:rsidR="00491843" w:rsidRPr="00AA552C">
        <w:rPr>
          <w:rFonts w:ascii="Calibri" w:eastAsia="Calibri" w:hAnsi="Calibri" w:cs="Times New Roman"/>
          <w:kern w:val="24"/>
          <w:szCs w:val="24"/>
        </w:rPr>
        <w:t xml:space="preserve"> presented an overview of CDS Connect, highlighting the overall goals for the project</w:t>
      </w:r>
      <w:r w:rsidR="00F00BAD" w:rsidRPr="00AA552C">
        <w:rPr>
          <w:rFonts w:ascii="Calibri" w:eastAsia="Calibri" w:hAnsi="Calibri" w:cs="Times New Roman"/>
          <w:kern w:val="24"/>
          <w:szCs w:val="24"/>
        </w:rPr>
        <w:t xml:space="preserve"> and the project timeline.</w:t>
      </w:r>
      <w:r w:rsidR="00491843" w:rsidRPr="00AA552C">
        <w:rPr>
          <w:rFonts w:ascii="Calibri" w:eastAsia="Calibri" w:hAnsi="Calibri" w:cs="Times New Roman"/>
          <w:kern w:val="24"/>
          <w:szCs w:val="24"/>
        </w:rPr>
        <w:t xml:space="preserve"> </w:t>
      </w:r>
      <w:r>
        <w:rPr>
          <w:rFonts w:ascii="Calibri" w:eastAsia="Calibri" w:hAnsi="Calibri" w:cs="Times New Roman"/>
          <w:kern w:val="24"/>
          <w:szCs w:val="24"/>
        </w:rPr>
        <w:t>CAMH</w:t>
      </w:r>
      <w:r w:rsidR="00902EFE" w:rsidRPr="00AA552C">
        <w:rPr>
          <w:rFonts w:ascii="Calibri" w:eastAsia="Calibri" w:hAnsi="Calibri" w:cs="Times New Roman"/>
          <w:kern w:val="24"/>
          <w:szCs w:val="24"/>
        </w:rPr>
        <w:t xml:space="preserve"> reinforced</w:t>
      </w:r>
      <w:r w:rsidR="00491843" w:rsidRPr="00AA552C">
        <w:rPr>
          <w:rFonts w:ascii="Calibri" w:eastAsia="Calibri" w:hAnsi="Calibri" w:cs="Times New Roman"/>
          <w:kern w:val="24"/>
          <w:szCs w:val="24"/>
        </w:rPr>
        <w:t xml:space="preserve"> </w:t>
      </w:r>
      <w:r w:rsidR="00902EFE" w:rsidRPr="00AA552C">
        <w:rPr>
          <w:rFonts w:ascii="Calibri" w:eastAsia="Calibri" w:hAnsi="Calibri" w:cs="Times New Roman"/>
          <w:kern w:val="24"/>
          <w:szCs w:val="24"/>
        </w:rPr>
        <w:t>the WG’s role in providing</w:t>
      </w:r>
      <w:r w:rsidR="00491843" w:rsidRPr="00AA552C">
        <w:rPr>
          <w:rFonts w:ascii="Calibri" w:eastAsia="Calibri" w:hAnsi="Calibri" w:cs="Times New Roman"/>
          <w:kern w:val="24"/>
          <w:szCs w:val="24"/>
        </w:rPr>
        <w:t xml:space="preserve"> constructive critical feedback from the community to prioritize and guide the </w:t>
      </w:r>
      <w:r w:rsidR="00DF6B92" w:rsidRPr="00AA552C">
        <w:rPr>
          <w:rFonts w:ascii="Calibri" w:eastAsia="Calibri" w:hAnsi="Calibri" w:cs="Times New Roman"/>
          <w:kern w:val="24"/>
          <w:szCs w:val="24"/>
        </w:rPr>
        <w:t xml:space="preserve">development of </w:t>
      </w:r>
      <w:r w:rsidR="00F00BAD" w:rsidRPr="00AA552C">
        <w:rPr>
          <w:rFonts w:ascii="Calibri" w:eastAsia="Calibri" w:hAnsi="Calibri" w:cs="Times New Roman"/>
          <w:kern w:val="24"/>
          <w:szCs w:val="24"/>
        </w:rPr>
        <w:t>CDS</w:t>
      </w:r>
      <w:r w:rsidR="00DF6B92" w:rsidRPr="00AA552C">
        <w:rPr>
          <w:rFonts w:ascii="Calibri" w:eastAsia="Calibri" w:hAnsi="Calibri" w:cs="Times New Roman"/>
          <w:kern w:val="24"/>
          <w:szCs w:val="24"/>
        </w:rPr>
        <w:t xml:space="preserve"> </w:t>
      </w:r>
      <w:r w:rsidR="00F00BAD" w:rsidRPr="00AA552C">
        <w:rPr>
          <w:rFonts w:ascii="Calibri" w:eastAsia="Calibri" w:hAnsi="Calibri" w:cs="Times New Roman"/>
          <w:kern w:val="24"/>
          <w:szCs w:val="24"/>
        </w:rPr>
        <w:t>artifacts in the cholesterol management domain</w:t>
      </w:r>
      <w:r w:rsidR="00902EFE" w:rsidRPr="00AA552C">
        <w:rPr>
          <w:rFonts w:ascii="Calibri" w:eastAsia="Calibri" w:hAnsi="Calibri" w:cs="Times New Roman"/>
          <w:kern w:val="24"/>
          <w:szCs w:val="24"/>
        </w:rPr>
        <w:t>.</w:t>
      </w:r>
    </w:p>
    <w:p w14:paraId="72F15E4E" w14:textId="5197AC71" w:rsidR="00491843" w:rsidRPr="00AA552C" w:rsidRDefault="0051056B" w:rsidP="008D6793">
      <w:pPr>
        <w:spacing w:after="120" w:line="300" w:lineRule="exact"/>
        <w:rPr>
          <w:rFonts w:ascii="Calibri" w:eastAsia="Calibri" w:hAnsi="Calibri" w:cs="Times New Roman"/>
          <w:kern w:val="24"/>
          <w:szCs w:val="24"/>
        </w:rPr>
      </w:pPr>
      <w:r>
        <w:rPr>
          <w:rFonts w:ascii="Calibri" w:eastAsia="Calibri" w:hAnsi="Calibri" w:cs="Times New Roman"/>
          <w:kern w:val="24"/>
          <w:szCs w:val="24"/>
        </w:rPr>
        <w:t>CAMH</w:t>
      </w:r>
      <w:r w:rsidR="008D6793" w:rsidRPr="00AA552C">
        <w:rPr>
          <w:rFonts w:ascii="Calibri" w:eastAsia="Calibri" w:hAnsi="Calibri" w:cs="Times New Roman"/>
          <w:kern w:val="24"/>
          <w:szCs w:val="24"/>
        </w:rPr>
        <w:t xml:space="preserve"> has identified </w:t>
      </w:r>
      <w:r w:rsidR="00DA20DB" w:rsidRPr="00AA552C">
        <w:rPr>
          <w:rFonts w:eastAsia="Times New Roman" w:cs="Times New Roman"/>
          <w:szCs w:val="24"/>
        </w:rPr>
        <w:t xml:space="preserve">three Federally Qualified Health Centers (FQHCs) that are interested in piloting the CDS artifacts and have the potential capabilities to host the pilot. </w:t>
      </w:r>
      <w:r w:rsidR="008D6793" w:rsidRPr="00AA552C">
        <w:rPr>
          <w:rFonts w:eastAsia="Times New Roman" w:cs="Times New Roman"/>
          <w:szCs w:val="24"/>
        </w:rPr>
        <w:t>Discussions are underway to further explore each facility’s current CDS capabilities in the area of cholesterol management and how the CDS Connect artifacts can be incorporated in to their clinical practice.</w:t>
      </w:r>
    </w:p>
    <w:p w14:paraId="30BBDD5C" w14:textId="77777777" w:rsidR="00491843" w:rsidRPr="00AA552C" w:rsidRDefault="00491843" w:rsidP="00491843">
      <w:pPr>
        <w:spacing w:after="0" w:line="240" w:lineRule="auto"/>
        <w:rPr>
          <w:rFonts w:ascii="Calibri" w:eastAsia="Calibri" w:hAnsi="Calibri" w:cs="Times New Roman"/>
          <w:b/>
          <w:kern w:val="24"/>
          <w:szCs w:val="24"/>
          <w:u w:val="single"/>
        </w:rPr>
      </w:pPr>
    </w:p>
    <w:p w14:paraId="3227D230" w14:textId="77777777" w:rsidR="00491843" w:rsidRPr="00AA552C" w:rsidRDefault="00DA20DB" w:rsidP="00491843">
      <w:pPr>
        <w:spacing w:after="0" w:line="240" w:lineRule="auto"/>
        <w:rPr>
          <w:rFonts w:ascii="Calibri" w:eastAsia="Calibri" w:hAnsi="Calibri" w:cs="Times New Roman"/>
          <w:b/>
          <w:kern w:val="24"/>
          <w:szCs w:val="24"/>
        </w:rPr>
      </w:pPr>
      <w:r w:rsidRPr="00AA552C">
        <w:rPr>
          <w:rFonts w:ascii="Calibri" w:eastAsia="Calibri" w:hAnsi="Calibri" w:cs="Times New Roman"/>
          <w:b/>
          <w:kern w:val="24"/>
          <w:szCs w:val="24"/>
          <w:u w:val="single"/>
        </w:rPr>
        <w:t>CDS Cholesterol Management</w:t>
      </w:r>
      <w:r w:rsidR="00491843" w:rsidRPr="00AA552C">
        <w:rPr>
          <w:rFonts w:ascii="Calibri" w:eastAsia="Calibri" w:hAnsi="Calibri" w:cs="Times New Roman"/>
          <w:b/>
          <w:kern w:val="24"/>
          <w:szCs w:val="24"/>
          <w:u w:val="single"/>
        </w:rPr>
        <w:t xml:space="preserve"> Work Group Overview and Planning</w:t>
      </w:r>
    </w:p>
    <w:p w14:paraId="3CB74505" w14:textId="77777777" w:rsidR="00491843" w:rsidRPr="00AA552C" w:rsidRDefault="00491843" w:rsidP="00491843">
      <w:pPr>
        <w:spacing w:after="0" w:line="240" w:lineRule="auto"/>
        <w:rPr>
          <w:rFonts w:ascii="Calibri" w:eastAsia="Calibri" w:hAnsi="Calibri" w:cs="Times New Roman"/>
          <w:kern w:val="24"/>
          <w:szCs w:val="24"/>
        </w:rPr>
      </w:pPr>
    </w:p>
    <w:p w14:paraId="5DDF9287" w14:textId="62643F4C" w:rsidR="005D144F" w:rsidRPr="00AA552C" w:rsidRDefault="0051056B" w:rsidP="00491843">
      <w:pPr>
        <w:spacing w:after="120" w:line="300" w:lineRule="exact"/>
        <w:rPr>
          <w:rFonts w:ascii="Calibri" w:eastAsia="Calibri" w:hAnsi="Calibri" w:cs="Times New Roman"/>
          <w:kern w:val="24"/>
          <w:szCs w:val="24"/>
        </w:rPr>
      </w:pPr>
      <w:r>
        <w:rPr>
          <w:rFonts w:ascii="Calibri" w:eastAsia="Calibri" w:hAnsi="Calibri" w:cs="Times New Roman"/>
          <w:kern w:val="24"/>
          <w:szCs w:val="24"/>
        </w:rPr>
        <w:t>CAMH</w:t>
      </w:r>
      <w:r w:rsidR="00491843" w:rsidRPr="00AA552C">
        <w:rPr>
          <w:rFonts w:ascii="Calibri" w:eastAsia="Calibri" w:hAnsi="Calibri" w:cs="Times New Roman"/>
          <w:kern w:val="24"/>
          <w:szCs w:val="24"/>
        </w:rPr>
        <w:t xml:space="preserve"> provided an overview of t</w:t>
      </w:r>
      <w:r w:rsidR="00121D9F" w:rsidRPr="00AA552C">
        <w:rPr>
          <w:rFonts w:ascii="Calibri" w:eastAsia="Calibri" w:hAnsi="Calibri" w:cs="Times New Roman"/>
          <w:kern w:val="24"/>
          <w:szCs w:val="24"/>
        </w:rPr>
        <w:t>he WG purpose, expectations,</w:t>
      </w:r>
      <w:r w:rsidR="00491843" w:rsidRPr="00AA552C">
        <w:rPr>
          <w:rFonts w:ascii="Calibri" w:eastAsia="Calibri" w:hAnsi="Calibri" w:cs="Times New Roman"/>
          <w:kern w:val="24"/>
          <w:szCs w:val="24"/>
        </w:rPr>
        <w:t xml:space="preserve"> governance</w:t>
      </w:r>
      <w:r w:rsidR="00121D9F" w:rsidRPr="00AA552C">
        <w:rPr>
          <w:rFonts w:ascii="Calibri" w:eastAsia="Calibri" w:hAnsi="Calibri" w:cs="Times New Roman"/>
          <w:kern w:val="24"/>
          <w:szCs w:val="24"/>
        </w:rPr>
        <w:t xml:space="preserve">, and communication vehicles for WG discussion between </w:t>
      </w:r>
      <w:r w:rsidR="00776A3E" w:rsidRPr="00AA552C">
        <w:rPr>
          <w:rFonts w:ascii="Calibri" w:eastAsia="Calibri" w:hAnsi="Calibri" w:cs="Times New Roman"/>
          <w:kern w:val="24"/>
          <w:szCs w:val="24"/>
        </w:rPr>
        <w:t>meetings (</w:t>
      </w:r>
      <w:r w:rsidR="00121D9F" w:rsidRPr="00AA552C">
        <w:rPr>
          <w:rFonts w:ascii="Calibri" w:eastAsia="Calibri" w:hAnsi="Calibri" w:cs="Times New Roman"/>
          <w:kern w:val="24"/>
          <w:szCs w:val="24"/>
        </w:rPr>
        <w:t>Handshake site)</w:t>
      </w:r>
      <w:r w:rsidR="00491843" w:rsidRPr="00AA552C">
        <w:rPr>
          <w:rFonts w:ascii="Calibri" w:eastAsia="Calibri" w:hAnsi="Calibri" w:cs="Times New Roman"/>
          <w:kern w:val="24"/>
          <w:szCs w:val="24"/>
        </w:rPr>
        <w:t xml:space="preserve">. </w:t>
      </w:r>
      <w:r w:rsidR="00EC3D92" w:rsidRPr="00AA552C">
        <w:rPr>
          <w:rFonts w:ascii="Calibri" w:eastAsia="Calibri" w:hAnsi="Calibri" w:cs="Times New Roman"/>
          <w:kern w:val="24"/>
          <w:szCs w:val="24"/>
        </w:rPr>
        <w:t xml:space="preserve">During the WG Overview, </w:t>
      </w:r>
      <w:r>
        <w:rPr>
          <w:rFonts w:ascii="Calibri" w:eastAsia="Calibri" w:hAnsi="Calibri" w:cs="Times New Roman"/>
          <w:kern w:val="24"/>
          <w:szCs w:val="24"/>
        </w:rPr>
        <w:t>CAMH</w:t>
      </w:r>
      <w:r w:rsidR="00EC3D92" w:rsidRPr="00AA552C">
        <w:rPr>
          <w:rFonts w:ascii="Calibri" w:eastAsia="Calibri" w:hAnsi="Calibri" w:cs="Times New Roman"/>
          <w:kern w:val="24"/>
          <w:szCs w:val="24"/>
        </w:rPr>
        <w:t xml:space="preserve"> highlighted that this project’s clinical focus will be on adult populations to </w:t>
      </w:r>
      <w:r w:rsidR="008D6793" w:rsidRPr="00AA552C">
        <w:rPr>
          <w:rFonts w:ascii="Calibri" w:eastAsia="Calibri" w:hAnsi="Calibri" w:cs="Times New Roman"/>
          <w:kern w:val="24"/>
          <w:szCs w:val="24"/>
        </w:rPr>
        <w:t xml:space="preserve">define and </w:t>
      </w:r>
      <w:r w:rsidR="00EC3D92" w:rsidRPr="00AA552C">
        <w:rPr>
          <w:rFonts w:ascii="Calibri" w:eastAsia="Calibri" w:hAnsi="Calibri" w:cs="Times New Roman"/>
          <w:kern w:val="24"/>
          <w:szCs w:val="24"/>
        </w:rPr>
        <w:t>constrain the scope</w:t>
      </w:r>
      <w:r w:rsidR="00310A22" w:rsidRPr="00AA552C">
        <w:rPr>
          <w:rFonts w:ascii="Calibri" w:eastAsia="Calibri" w:hAnsi="Calibri" w:cs="Times New Roman"/>
          <w:kern w:val="24"/>
          <w:szCs w:val="24"/>
        </w:rPr>
        <w:t>. It</w:t>
      </w:r>
      <w:r w:rsidR="00EC3D92" w:rsidRPr="00AA552C">
        <w:rPr>
          <w:rFonts w:ascii="Calibri" w:eastAsia="Calibri" w:hAnsi="Calibri" w:cs="Times New Roman"/>
          <w:kern w:val="24"/>
          <w:szCs w:val="24"/>
        </w:rPr>
        <w:t xml:space="preserve"> will </w:t>
      </w:r>
      <w:r w:rsidR="008D6793" w:rsidRPr="00AA552C">
        <w:rPr>
          <w:rFonts w:ascii="Calibri" w:eastAsia="Calibri" w:hAnsi="Calibri" w:cs="Times New Roman"/>
          <w:kern w:val="24"/>
          <w:szCs w:val="24"/>
        </w:rPr>
        <w:t xml:space="preserve">likely </w:t>
      </w:r>
      <w:r w:rsidR="00EC3D92" w:rsidRPr="00AA552C">
        <w:rPr>
          <w:rFonts w:ascii="Calibri" w:eastAsia="Calibri" w:hAnsi="Calibri" w:cs="Times New Roman"/>
          <w:kern w:val="24"/>
          <w:szCs w:val="24"/>
        </w:rPr>
        <w:t xml:space="preserve">not include </w:t>
      </w:r>
      <w:r w:rsidR="008D6793" w:rsidRPr="00AA552C">
        <w:rPr>
          <w:rFonts w:ascii="Calibri" w:eastAsia="Calibri" w:hAnsi="Calibri" w:cs="Times New Roman"/>
          <w:kern w:val="24"/>
          <w:szCs w:val="24"/>
        </w:rPr>
        <w:t xml:space="preserve">cholesterol management in patients with complex </w:t>
      </w:r>
      <w:r w:rsidR="00EC3D92" w:rsidRPr="00AA552C">
        <w:rPr>
          <w:rFonts w:ascii="Calibri" w:eastAsia="Calibri" w:hAnsi="Calibri" w:cs="Times New Roman"/>
          <w:kern w:val="24"/>
          <w:szCs w:val="24"/>
        </w:rPr>
        <w:t xml:space="preserve">comorbidities or the prescription of medication due to the </w:t>
      </w:r>
      <w:r w:rsidR="008D6793" w:rsidRPr="00AA552C">
        <w:rPr>
          <w:rFonts w:ascii="Calibri" w:eastAsia="Calibri" w:hAnsi="Calibri" w:cs="Times New Roman"/>
          <w:kern w:val="24"/>
          <w:szCs w:val="24"/>
        </w:rPr>
        <w:t>need to balance resources and consider liability implications related to medication management</w:t>
      </w:r>
      <w:r w:rsidR="00EC3D92" w:rsidRPr="00AA552C">
        <w:rPr>
          <w:rFonts w:ascii="Calibri" w:eastAsia="Calibri" w:hAnsi="Calibri" w:cs="Times New Roman"/>
          <w:kern w:val="24"/>
          <w:szCs w:val="24"/>
        </w:rPr>
        <w:t xml:space="preserve">. </w:t>
      </w:r>
    </w:p>
    <w:p w14:paraId="65052A58" w14:textId="62E03741" w:rsidR="00EC3D92" w:rsidRPr="00AA552C" w:rsidRDefault="008D6793" w:rsidP="00491843">
      <w:pPr>
        <w:spacing w:after="120" w:line="300" w:lineRule="exact"/>
        <w:rPr>
          <w:rFonts w:ascii="Calibri" w:eastAsia="Calibri" w:hAnsi="Calibri" w:cs="Times New Roman"/>
          <w:kern w:val="24"/>
          <w:szCs w:val="24"/>
        </w:rPr>
      </w:pPr>
      <w:r w:rsidRPr="00AA552C">
        <w:rPr>
          <w:rFonts w:ascii="Calibri" w:eastAsia="Calibri" w:hAnsi="Calibri" w:cs="Times New Roman"/>
          <w:kern w:val="24"/>
          <w:szCs w:val="24"/>
        </w:rPr>
        <w:t>The first WG meeting</w:t>
      </w:r>
      <w:r w:rsidR="005D144F" w:rsidRPr="00AA552C">
        <w:rPr>
          <w:rFonts w:ascii="Calibri" w:eastAsia="Calibri" w:hAnsi="Calibri" w:cs="Times New Roman"/>
          <w:kern w:val="24"/>
          <w:szCs w:val="24"/>
        </w:rPr>
        <w:t xml:space="preserve"> will be used to discuss the findings of the </w:t>
      </w:r>
      <w:r w:rsidR="0051056B">
        <w:rPr>
          <w:rFonts w:ascii="Calibri" w:eastAsia="Calibri" w:hAnsi="Calibri" w:cs="Times New Roman"/>
          <w:kern w:val="24"/>
          <w:szCs w:val="24"/>
        </w:rPr>
        <w:t>CAMH</w:t>
      </w:r>
      <w:r w:rsidR="00121D9F" w:rsidRPr="00AA552C">
        <w:rPr>
          <w:rFonts w:ascii="Calibri" w:eastAsia="Calibri" w:hAnsi="Calibri" w:cs="Times New Roman"/>
          <w:kern w:val="24"/>
          <w:szCs w:val="24"/>
        </w:rPr>
        <w:t xml:space="preserve"> Environmental Scan on clinical decision su</w:t>
      </w:r>
      <w:r w:rsidRPr="00AA552C">
        <w:rPr>
          <w:rFonts w:ascii="Calibri" w:eastAsia="Calibri" w:hAnsi="Calibri" w:cs="Times New Roman"/>
          <w:kern w:val="24"/>
          <w:szCs w:val="24"/>
        </w:rPr>
        <w:t xml:space="preserve">pport and identified artifacts, discuss and validate identified artifacts for </w:t>
      </w:r>
      <w:r w:rsidR="00C044B2" w:rsidRPr="00AA552C">
        <w:rPr>
          <w:rFonts w:ascii="Calibri" w:eastAsia="Calibri" w:hAnsi="Calibri" w:cs="Times New Roman"/>
          <w:kern w:val="24"/>
          <w:szCs w:val="24"/>
        </w:rPr>
        <w:t>potential CDS build out</w:t>
      </w:r>
      <w:r w:rsidRPr="00AA552C">
        <w:rPr>
          <w:rFonts w:ascii="Calibri" w:eastAsia="Calibri" w:hAnsi="Calibri" w:cs="Times New Roman"/>
          <w:kern w:val="24"/>
          <w:szCs w:val="24"/>
        </w:rPr>
        <w:t xml:space="preserve">, </w:t>
      </w:r>
      <w:r w:rsidR="00C044B2" w:rsidRPr="00AA552C">
        <w:rPr>
          <w:rFonts w:ascii="Calibri" w:eastAsia="Calibri" w:hAnsi="Calibri" w:cs="Times New Roman"/>
          <w:kern w:val="24"/>
          <w:szCs w:val="24"/>
        </w:rPr>
        <w:t xml:space="preserve">and </w:t>
      </w:r>
      <w:r w:rsidRPr="00AA552C">
        <w:rPr>
          <w:rFonts w:ascii="Calibri" w:eastAsia="Calibri" w:hAnsi="Calibri" w:cs="Times New Roman"/>
          <w:kern w:val="24"/>
          <w:szCs w:val="24"/>
        </w:rPr>
        <w:t>identify additional clinica</w:t>
      </w:r>
      <w:r w:rsidR="00C044B2" w:rsidRPr="00AA552C">
        <w:rPr>
          <w:rFonts w:ascii="Calibri" w:eastAsia="Calibri" w:hAnsi="Calibri" w:cs="Times New Roman"/>
          <w:kern w:val="24"/>
          <w:szCs w:val="24"/>
        </w:rPr>
        <w:t>l resources for consideration.</w:t>
      </w:r>
    </w:p>
    <w:p w14:paraId="026A19A0" w14:textId="31FE7BCF" w:rsidR="008D6793" w:rsidRPr="00AA552C" w:rsidRDefault="008D6793" w:rsidP="00491843">
      <w:pPr>
        <w:spacing w:after="120" w:line="300" w:lineRule="exact"/>
        <w:rPr>
          <w:rFonts w:ascii="Calibri" w:eastAsia="Calibri" w:hAnsi="Calibri" w:cs="Times New Roman"/>
          <w:kern w:val="24"/>
          <w:szCs w:val="24"/>
        </w:rPr>
      </w:pPr>
      <w:r w:rsidRPr="00AA552C">
        <w:rPr>
          <w:rFonts w:ascii="Calibri" w:eastAsia="Calibri" w:hAnsi="Calibri" w:cs="Times New Roman"/>
          <w:kern w:val="24"/>
          <w:szCs w:val="24"/>
        </w:rPr>
        <w:t xml:space="preserve">Attendees </w:t>
      </w:r>
      <w:r w:rsidR="00C044B2" w:rsidRPr="00AA552C">
        <w:rPr>
          <w:rFonts w:ascii="Calibri" w:eastAsia="Calibri" w:hAnsi="Calibri" w:cs="Times New Roman"/>
          <w:kern w:val="24"/>
          <w:szCs w:val="24"/>
        </w:rPr>
        <w:t>agreed that identifying a recurring day and time for monthly meetings would be easiest to track and attend. Some attendees suggested that a cadence of 2 one-hour meetings/month may be easier to attend. Others felt that 1 two-hour meeting works well for them. The cadence may be revisited in the future.</w:t>
      </w:r>
    </w:p>
    <w:p w14:paraId="0AE0808E" w14:textId="4FA9EFA4" w:rsidR="00C044B2" w:rsidRPr="00AA552C" w:rsidRDefault="00C044B2" w:rsidP="00491843">
      <w:pPr>
        <w:spacing w:after="120" w:line="300" w:lineRule="exact"/>
        <w:rPr>
          <w:rFonts w:ascii="Calibri" w:eastAsia="Calibri" w:hAnsi="Calibri" w:cs="Times New Roman"/>
          <w:kern w:val="24"/>
          <w:szCs w:val="24"/>
        </w:rPr>
      </w:pPr>
      <w:r w:rsidRPr="00AA552C">
        <w:rPr>
          <w:rFonts w:ascii="Calibri" w:eastAsia="Calibri" w:hAnsi="Calibri" w:cs="Times New Roman"/>
          <w:kern w:val="24"/>
          <w:szCs w:val="24"/>
        </w:rPr>
        <w:t>WG members will be asked to submit their top preferences for meeting days/times, along with days/times that do not work based on existing responsibilities. This information will be compiled via email or doodle poll to determine subsequent meetings. Since some attendees reside on the west coast, WG meetings will not occur prior to 11 a.m. EST.</w:t>
      </w:r>
    </w:p>
    <w:p w14:paraId="653B83F2" w14:textId="77777777" w:rsidR="00491843" w:rsidRPr="00AA552C" w:rsidRDefault="00491843" w:rsidP="00491843">
      <w:pPr>
        <w:spacing w:after="0" w:line="240" w:lineRule="auto"/>
        <w:rPr>
          <w:rFonts w:ascii="Calibri" w:eastAsia="Calibri" w:hAnsi="Calibri" w:cs="Times New Roman"/>
          <w:kern w:val="24"/>
          <w:szCs w:val="24"/>
        </w:rPr>
      </w:pPr>
    </w:p>
    <w:p w14:paraId="3741CD2E" w14:textId="77777777" w:rsidR="00491843" w:rsidRPr="00AA552C" w:rsidRDefault="00776A3E" w:rsidP="00491843">
      <w:pPr>
        <w:spacing w:after="0" w:line="240" w:lineRule="auto"/>
        <w:rPr>
          <w:rFonts w:ascii="Calibri" w:eastAsia="Calibri" w:hAnsi="Calibri" w:cs="Times New Roman"/>
          <w:b/>
          <w:kern w:val="24"/>
          <w:szCs w:val="24"/>
          <w:u w:val="single"/>
        </w:rPr>
      </w:pPr>
      <w:r w:rsidRPr="00AA552C">
        <w:rPr>
          <w:rFonts w:ascii="Calibri" w:eastAsia="Calibri" w:hAnsi="Calibri" w:cs="Times New Roman"/>
          <w:b/>
          <w:kern w:val="24"/>
          <w:szCs w:val="24"/>
          <w:u w:val="single"/>
        </w:rPr>
        <w:t>CDS Cholesterol Management and Environmental Scan Findings and Artifacts</w:t>
      </w:r>
    </w:p>
    <w:p w14:paraId="7269379F" w14:textId="77777777" w:rsidR="00491843" w:rsidRPr="00AA552C" w:rsidRDefault="00491843" w:rsidP="00491843">
      <w:pPr>
        <w:spacing w:after="0" w:line="240" w:lineRule="auto"/>
        <w:rPr>
          <w:rFonts w:ascii="Times New Roman" w:eastAsia="Calibri" w:hAnsi="Times New Roman" w:cs="Times New Roman"/>
          <w:kern w:val="24"/>
          <w:szCs w:val="24"/>
        </w:rPr>
      </w:pPr>
    </w:p>
    <w:p w14:paraId="4987CDC4" w14:textId="7AE385B9" w:rsidR="0079386A" w:rsidRPr="00AA552C" w:rsidRDefault="0051056B" w:rsidP="0079386A">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00491843" w:rsidRPr="00AA552C">
        <w:rPr>
          <w:rFonts w:ascii="Calibri" w:eastAsia="Calibri" w:hAnsi="Calibri" w:cs="Times New Roman"/>
          <w:kern w:val="24"/>
          <w:szCs w:val="24"/>
        </w:rPr>
        <w:t xml:space="preserve"> provided an overview of the </w:t>
      </w:r>
      <w:r>
        <w:rPr>
          <w:rFonts w:ascii="Calibri" w:eastAsia="Calibri" w:hAnsi="Calibri" w:cs="Times New Roman"/>
          <w:kern w:val="24"/>
          <w:szCs w:val="24"/>
        </w:rPr>
        <w:t>CAMH</w:t>
      </w:r>
      <w:r w:rsidR="0081694C" w:rsidRPr="00AA552C">
        <w:rPr>
          <w:rFonts w:ascii="Calibri" w:eastAsia="Calibri" w:hAnsi="Calibri" w:cs="Times New Roman"/>
          <w:kern w:val="24"/>
          <w:szCs w:val="24"/>
        </w:rPr>
        <w:t xml:space="preserve"> Environmental Scan Findings and </w:t>
      </w:r>
      <w:r w:rsidR="0079386A" w:rsidRPr="00AA552C">
        <w:rPr>
          <w:rFonts w:ascii="Calibri" w:eastAsia="Calibri" w:hAnsi="Calibri" w:cs="Times New Roman"/>
          <w:kern w:val="24"/>
          <w:szCs w:val="24"/>
        </w:rPr>
        <w:t>introduced the Patient-Centered Outcomes Research Learning Network (PCOR LN)</w:t>
      </w:r>
      <w:r w:rsidR="0081694C" w:rsidRPr="00AA552C">
        <w:rPr>
          <w:rFonts w:ascii="Calibri" w:eastAsia="Calibri" w:hAnsi="Calibri" w:cs="Times New Roman"/>
          <w:kern w:val="24"/>
          <w:szCs w:val="24"/>
        </w:rPr>
        <w:t xml:space="preserve">. </w:t>
      </w:r>
      <w:r>
        <w:rPr>
          <w:rFonts w:ascii="Calibri" w:eastAsia="Calibri" w:hAnsi="Calibri" w:cs="Times New Roman"/>
          <w:kern w:val="24"/>
          <w:szCs w:val="24"/>
        </w:rPr>
        <w:t>CAMH</w:t>
      </w:r>
      <w:r w:rsidR="0079386A" w:rsidRPr="00AA552C">
        <w:rPr>
          <w:rFonts w:ascii="Calibri" w:eastAsia="Calibri" w:hAnsi="Calibri" w:cs="Times New Roman"/>
          <w:kern w:val="24"/>
          <w:szCs w:val="24"/>
        </w:rPr>
        <w:t xml:space="preserve"> highlighted that</w:t>
      </w:r>
      <w:r w:rsidR="0079386A" w:rsidRPr="00AA552C">
        <w:t xml:space="preserve"> </w:t>
      </w:r>
      <w:r w:rsidR="006D522C" w:rsidRPr="00AA552C">
        <w:t xml:space="preserve">previous CDS efforts </w:t>
      </w:r>
      <w:r w:rsidR="00FC1B07" w:rsidRPr="00AA552C">
        <w:t>around</w:t>
      </w:r>
      <w:r w:rsidR="006D522C" w:rsidRPr="00AA552C">
        <w:t xml:space="preserve"> cholesterol management resulted in </w:t>
      </w:r>
      <w:r w:rsidR="0079386A" w:rsidRPr="00AA552C">
        <w:rPr>
          <w:rFonts w:ascii="Calibri" w:eastAsia="Calibri" w:hAnsi="Calibri" w:cs="Times New Roman"/>
          <w:kern w:val="24"/>
          <w:szCs w:val="24"/>
        </w:rPr>
        <w:t>p</w:t>
      </w:r>
      <w:r w:rsidR="00830450" w:rsidRPr="00AA552C">
        <w:rPr>
          <w:rFonts w:ascii="Calibri" w:eastAsia="Calibri" w:hAnsi="Calibri" w:cs="Times New Roman"/>
          <w:kern w:val="24"/>
          <w:szCs w:val="24"/>
        </w:rPr>
        <w:t>rocess</w:t>
      </w:r>
      <w:r w:rsidR="006D522C" w:rsidRPr="00AA552C">
        <w:rPr>
          <w:rFonts w:ascii="Calibri" w:eastAsia="Calibri" w:hAnsi="Calibri" w:cs="Times New Roman"/>
          <w:kern w:val="24"/>
          <w:szCs w:val="24"/>
        </w:rPr>
        <w:t xml:space="preserve"> improvements</w:t>
      </w:r>
      <w:r w:rsidR="0079386A" w:rsidRPr="00AA552C">
        <w:rPr>
          <w:rFonts w:ascii="Calibri" w:eastAsia="Calibri" w:hAnsi="Calibri" w:cs="Times New Roman"/>
          <w:kern w:val="24"/>
          <w:szCs w:val="24"/>
        </w:rPr>
        <w:t xml:space="preserve">, as opposed to </w:t>
      </w:r>
      <w:r w:rsidR="00830450" w:rsidRPr="00AA552C">
        <w:rPr>
          <w:rFonts w:ascii="Calibri" w:eastAsia="Calibri" w:hAnsi="Calibri" w:cs="Times New Roman"/>
          <w:kern w:val="24"/>
          <w:szCs w:val="24"/>
        </w:rPr>
        <w:t>patient outcome improvements</w:t>
      </w:r>
      <w:r w:rsidR="0079386A" w:rsidRPr="00AA552C">
        <w:rPr>
          <w:rFonts w:ascii="Calibri" w:eastAsia="Calibri" w:hAnsi="Calibri" w:cs="Times New Roman"/>
          <w:kern w:val="24"/>
          <w:szCs w:val="24"/>
        </w:rPr>
        <w:t xml:space="preserve">. </w:t>
      </w:r>
      <w:r w:rsidR="002144AF" w:rsidRPr="00AA552C">
        <w:rPr>
          <w:rFonts w:ascii="Calibri" w:eastAsia="Calibri" w:hAnsi="Calibri" w:cs="Times New Roman"/>
          <w:kern w:val="24"/>
          <w:szCs w:val="24"/>
        </w:rPr>
        <w:t>Given the 1-</w:t>
      </w:r>
      <w:r w:rsidR="001A7D55" w:rsidRPr="00AA552C">
        <w:rPr>
          <w:rFonts w:ascii="Calibri" w:eastAsia="Calibri" w:hAnsi="Calibri" w:cs="Times New Roman"/>
          <w:kern w:val="24"/>
          <w:szCs w:val="24"/>
        </w:rPr>
        <w:t>year project timeline, we are likely to see process improvements as a result of CDS implementation, rather than improved outcomes.</w:t>
      </w:r>
    </w:p>
    <w:p w14:paraId="79EDAD8B" w14:textId="77777777" w:rsidR="0079386A" w:rsidRPr="00AA552C" w:rsidRDefault="0079386A" w:rsidP="0079386A">
      <w:pPr>
        <w:spacing w:after="0" w:line="240" w:lineRule="auto"/>
        <w:rPr>
          <w:rFonts w:ascii="Calibri" w:eastAsia="Calibri" w:hAnsi="Calibri" w:cs="Times New Roman"/>
          <w:kern w:val="24"/>
          <w:szCs w:val="24"/>
        </w:rPr>
      </w:pPr>
    </w:p>
    <w:p w14:paraId="7F38D8D1" w14:textId="35AD8574" w:rsidR="00395739" w:rsidRPr="00AA552C" w:rsidRDefault="00AE3503" w:rsidP="00D72BEB">
      <w:pPr>
        <w:pStyle w:val="ListParagraph"/>
        <w:numPr>
          <w:ilvl w:val="0"/>
          <w:numId w:val="1"/>
        </w:numPr>
        <w:spacing w:after="0" w:line="240" w:lineRule="auto"/>
        <w:rPr>
          <w:rFonts w:ascii="Calibri" w:eastAsia="Calibri" w:hAnsi="Calibri" w:cs="Times New Roman"/>
          <w:kern w:val="24"/>
          <w:szCs w:val="24"/>
        </w:rPr>
      </w:pPr>
      <w:r w:rsidRPr="00AA552C">
        <w:rPr>
          <w:rFonts w:ascii="Calibri" w:eastAsia="Calibri" w:hAnsi="Calibri" w:cs="Times New Roman"/>
          <w:b/>
          <w:kern w:val="24"/>
          <w:szCs w:val="24"/>
        </w:rPr>
        <w:t>Clinical Artifacts</w:t>
      </w:r>
      <w:r w:rsidRPr="00AA552C">
        <w:rPr>
          <w:rFonts w:ascii="Calibri" w:eastAsia="Calibri" w:hAnsi="Calibri" w:cs="Times New Roman"/>
          <w:kern w:val="24"/>
          <w:szCs w:val="24"/>
        </w:rPr>
        <w:t xml:space="preserve"> - </w:t>
      </w:r>
      <w:r w:rsidR="0051056B">
        <w:rPr>
          <w:rFonts w:ascii="Calibri" w:eastAsia="Calibri" w:hAnsi="Calibri" w:cs="Times New Roman"/>
          <w:kern w:val="24"/>
          <w:szCs w:val="24"/>
        </w:rPr>
        <w:t>CAMH</w:t>
      </w:r>
      <w:r w:rsidR="00830450" w:rsidRPr="00AA552C">
        <w:rPr>
          <w:rFonts w:ascii="Calibri" w:eastAsia="Calibri" w:hAnsi="Calibri" w:cs="Times New Roman"/>
          <w:kern w:val="24"/>
          <w:szCs w:val="24"/>
        </w:rPr>
        <w:t xml:space="preserve"> presen</w:t>
      </w:r>
      <w:r w:rsidR="00395739" w:rsidRPr="00AA552C">
        <w:rPr>
          <w:rFonts w:ascii="Calibri" w:eastAsia="Calibri" w:hAnsi="Calibri" w:cs="Times New Roman"/>
          <w:kern w:val="24"/>
          <w:szCs w:val="24"/>
        </w:rPr>
        <w:t>ted</w:t>
      </w:r>
      <w:r w:rsidR="00830450" w:rsidRPr="00AA552C">
        <w:rPr>
          <w:rFonts w:ascii="Calibri" w:eastAsia="Calibri" w:hAnsi="Calibri" w:cs="Times New Roman"/>
          <w:kern w:val="24"/>
          <w:szCs w:val="24"/>
        </w:rPr>
        <w:t xml:space="preserve"> a list of </w:t>
      </w:r>
      <w:r w:rsidR="00D72BEB" w:rsidRPr="00AA552C">
        <w:rPr>
          <w:rFonts w:ascii="Calibri" w:eastAsia="Calibri" w:hAnsi="Calibri" w:cs="Times New Roman"/>
          <w:kern w:val="24"/>
          <w:szCs w:val="24"/>
        </w:rPr>
        <w:t>artifacts</w:t>
      </w:r>
      <w:r w:rsidR="00830450" w:rsidRPr="00AA552C">
        <w:rPr>
          <w:rFonts w:ascii="Calibri" w:eastAsia="Calibri" w:hAnsi="Calibri" w:cs="Times New Roman"/>
          <w:kern w:val="24"/>
          <w:szCs w:val="24"/>
        </w:rPr>
        <w:t xml:space="preserve"> identified during the environmental scan that included a wide variety of clinical practice guidelines (CPGs), several electronic clinical quality measures (eCQMs), ASCVD risk assessment tools, the Preventive Services Selector application that provides screening recommendations, and patient teaching materials. </w:t>
      </w:r>
    </w:p>
    <w:p w14:paraId="2E27A96E" w14:textId="6CB1E205" w:rsidR="00491843" w:rsidRPr="00AA552C" w:rsidRDefault="00830450" w:rsidP="00395739">
      <w:pPr>
        <w:pStyle w:val="ListParagraph"/>
        <w:numPr>
          <w:ilvl w:val="1"/>
          <w:numId w:val="1"/>
        </w:numPr>
        <w:spacing w:after="0" w:line="240" w:lineRule="auto"/>
        <w:rPr>
          <w:rFonts w:ascii="Calibri" w:eastAsia="Calibri" w:hAnsi="Calibri" w:cs="Times New Roman"/>
          <w:b/>
          <w:kern w:val="24"/>
          <w:szCs w:val="24"/>
        </w:rPr>
      </w:pPr>
      <w:r w:rsidRPr="00AA552C">
        <w:rPr>
          <w:rFonts w:ascii="Calibri" w:eastAsia="Calibri" w:hAnsi="Calibri" w:cs="Times New Roman"/>
          <w:b/>
          <w:kern w:val="24"/>
          <w:szCs w:val="24"/>
        </w:rPr>
        <w:t>The following artif</w:t>
      </w:r>
      <w:r w:rsidR="00395739" w:rsidRPr="00AA552C">
        <w:rPr>
          <w:rFonts w:ascii="Calibri" w:eastAsia="Calibri" w:hAnsi="Calibri" w:cs="Times New Roman"/>
          <w:b/>
          <w:kern w:val="24"/>
          <w:szCs w:val="24"/>
        </w:rPr>
        <w:t>acts were validated as beneficial CDS artifacts:</w:t>
      </w:r>
    </w:p>
    <w:p w14:paraId="429BA539" w14:textId="56713DF7" w:rsidR="00D72BEB" w:rsidRPr="00AA552C" w:rsidRDefault="00D72BEB" w:rsidP="00395739">
      <w:pPr>
        <w:pStyle w:val="ListParagraph"/>
        <w:numPr>
          <w:ilvl w:val="2"/>
          <w:numId w:val="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2013</w:t>
      </w:r>
      <w:r w:rsidR="00395739" w:rsidRPr="00AA552C">
        <w:rPr>
          <w:rFonts w:ascii="Calibri" w:eastAsia="Calibri" w:hAnsi="Calibri" w:cs="Times New Roman"/>
          <w:kern w:val="24"/>
          <w:szCs w:val="24"/>
        </w:rPr>
        <w:t xml:space="preserve"> ACC/AHA 10-Year ASCVD Risk Assessment Tool</w:t>
      </w:r>
    </w:p>
    <w:p w14:paraId="6BBF7051" w14:textId="2B895911" w:rsidR="00D72BEB" w:rsidRPr="00AA552C" w:rsidRDefault="00395739" w:rsidP="00395739">
      <w:pPr>
        <w:pStyle w:val="ListParagraph"/>
        <w:numPr>
          <w:ilvl w:val="2"/>
          <w:numId w:val="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Longitudinal Risk Assessment Tool (created by CMMI and the Million Hearts to evaluate ASCVD risk after interventions have been initiated)</w:t>
      </w:r>
    </w:p>
    <w:p w14:paraId="2A44CF35" w14:textId="406815E5" w:rsidR="00D72BEB" w:rsidRPr="00AA552C" w:rsidRDefault="00D72BEB" w:rsidP="00395739">
      <w:pPr>
        <w:pStyle w:val="ListParagraph"/>
        <w:numPr>
          <w:ilvl w:val="2"/>
          <w:numId w:val="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PQRS #438 – Statin use for Primary Prevention of CVD</w:t>
      </w:r>
    </w:p>
    <w:p w14:paraId="741CD29F" w14:textId="25821D9C" w:rsidR="00395739" w:rsidRPr="00AA552C" w:rsidRDefault="00395739" w:rsidP="00395739">
      <w:pPr>
        <w:pStyle w:val="ListParagraph"/>
        <w:numPr>
          <w:ilvl w:val="1"/>
          <w:numId w:val="1"/>
        </w:numPr>
        <w:spacing w:after="0" w:line="240" w:lineRule="auto"/>
        <w:rPr>
          <w:rFonts w:ascii="Calibri" w:eastAsia="Calibri" w:hAnsi="Calibri" w:cs="Times New Roman"/>
          <w:b/>
          <w:kern w:val="24"/>
          <w:szCs w:val="24"/>
        </w:rPr>
      </w:pPr>
      <w:r w:rsidRPr="00AA552C">
        <w:rPr>
          <w:rFonts w:ascii="Calibri" w:eastAsia="Calibri" w:hAnsi="Calibri" w:cs="Times New Roman"/>
          <w:b/>
          <w:kern w:val="24"/>
          <w:szCs w:val="24"/>
        </w:rPr>
        <w:t>The following artifacts were identified as not aligning with current CPGs, therefore should be considered with caution and caveat:</w:t>
      </w:r>
    </w:p>
    <w:p w14:paraId="0BB6AC49" w14:textId="3C5D7BBE" w:rsidR="00395739" w:rsidRPr="00AA552C" w:rsidRDefault="00395739" w:rsidP="00395739">
      <w:pPr>
        <w:pStyle w:val="ListParagraph"/>
        <w:numPr>
          <w:ilvl w:val="2"/>
          <w:numId w:val="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CMS 61 – LDL Screening</w:t>
      </w:r>
      <w:r w:rsidR="007B55A3" w:rsidRPr="00AA552C">
        <w:rPr>
          <w:rFonts w:ascii="Calibri" w:eastAsia="Calibri" w:hAnsi="Calibri" w:cs="Times New Roman"/>
          <w:kern w:val="24"/>
          <w:szCs w:val="24"/>
        </w:rPr>
        <w:t xml:space="preserve"> (although initially considered as up to date based on the concept of </w:t>
      </w:r>
      <w:r w:rsidR="001A7D55" w:rsidRPr="00AA552C">
        <w:rPr>
          <w:rFonts w:ascii="Calibri" w:eastAsia="Calibri" w:hAnsi="Calibri" w:cs="Times New Roman"/>
          <w:kern w:val="24"/>
          <w:szCs w:val="24"/>
        </w:rPr>
        <w:t xml:space="preserve">screening, </w:t>
      </w:r>
      <w:r w:rsidR="007B55A3" w:rsidRPr="00AA552C">
        <w:rPr>
          <w:rFonts w:ascii="Calibri" w:eastAsia="Calibri" w:hAnsi="Calibri" w:cs="Times New Roman"/>
          <w:kern w:val="24"/>
          <w:szCs w:val="24"/>
        </w:rPr>
        <w:t>the numerator of this measure outlines treatments based on LDL levels)</w:t>
      </w:r>
    </w:p>
    <w:p w14:paraId="5AF0BFCC" w14:textId="689B0AEE" w:rsidR="00395739" w:rsidRPr="00AA552C" w:rsidRDefault="00395739" w:rsidP="00395739">
      <w:pPr>
        <w:pStyle w:val="ListParagraph"/>
        <w:numPr>
          <w:ilvl w:val="2"/>
          <w:numId w:val="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 xml:space="preserve">CMS 64 – LDL </w:t>
      </w:r>
      <w:r w:rsidR="007B55A3" w:rsidRPr="00AA552C">
        <w:rPr>
          <w:rFonts w:ascii="Calibri" w:eastAsia="Calibri" w:hAnsi="Calibri" w:cs="Times New Roman"/>
          <w:kern w:val="24"/>
          <w:szCs w:val="24"/>
        </w:rPr>
        <w:t xml:space="preserve">Risk Stratified Cholesterol (since it centers on treating an LDL-C goal) </w:t>
      </w:r>
    </w:p>
    <w:p w14:paraId="2CCE00CB" w14:textId="2906EA1C" w:rsidR="00D72BEB" w:rsidRPr="00AA552C" w:rsidRDefault="007B55A3" w:rsidP="007B55A3">
      <w:pPr>
        <w:pStyle w:val="ListParagraph"/>
        <w:numPr>
          <w:ilvl w:val="1"/>
          <w:numId w:val="1"/>
        </w:numPr>
        <w:spacing w:after="0" w:line="240" w:lineRule="auto"/>
        <w:rPr>
          <w:rFonts w:ascii="Calibri" w:eastAsia="Calibri" w:hAnsi="Calibri" w:cs="Times New Roman"/>
          <w:b/>
          <w:kern w:val="24"/>
          <w:szCs w:val="24"/>
        </w:rPr>
      </w:pPr>
      <w:r w:rsidRPr="00AA552C">
        <w:rPr>
          <w:rFonts w:ascii="Calibri" w:eastAsia="Calibri" w:hAnsi="Calibri" w:cs="Times New Roman"/>
          <w:b/>
          <w:kern w:val="24"/>
          <w:szCs w:val="24"/>
        </w:rPr>
        <w:t xml:space="preserve">WG members went on to identify additional artifacts and clinical resources that might be considered: </w:t>
      </w:r>
    </w:p>
    <w:p w14:paraId="4F18ED4D" w14:textId="77777777" w:rsidR="00DB5BD6" w:rsidRPr="00AA552C" w:rsidRDefault="00DB5BD6" w:rsidP="00DB5BD6">
      <w:pPr>
        <w:pStyle w:val="ListParagraph"/>
        <w:numPr>
          <w:ilvl w:val="2"/>
          <w:numId w:val="1"/>
        </w:numPr>
      </w:pPr>
      <w:r w:rsidRPr="00AA552C">
        <w:t xml:space="preserve">Risk Calculators: </w:t>
      </w:r>
    </w:p>
    <w:p w14:paraId="76012BBB" w14:textId="0A9E1050" w:rsidR="00D72BEB" w:rsidRPr="00AA552C" w:rsidRDefault="007B55A3" w:rsidP="00DB5BD6">
      <w:pPr>
        <w:pStyle w:val="ListParagraph"/>
        <w:numPr>
          <w:ilvl w:val="3"/>
          <w:numId w:val="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30-Year/Lifetime Risk Assessment Tool</w:t>
      </w:r>
    </w:p>
    <w:p w14:paraId="3C7E8532" w14:textId="77777777" w:rsidR="007B55A3" w:rsidRPr="00AA552C" w:rsidRDefault="007B55A3" w:rsidP="00DB5BD6">
      <w:pPr>
        <w:pStyle w:val="ListParagraph"/>
        <w:numPr>
          <w:ilvl w:val="4"/>
          <w:numId w:val="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This w</w:t>
      </w:r>
      <w:r w:rsidR="00D72BEB" w:rsidRPr="00AA552C">
        <w:rPr>
          <w:rFonts w:ascii="Calibri" w:eastAsia="Calibri" w:hAnsi="Calibri" w:cs="Times New Roman"/>
          <w:kern w:val="24"/>
          <w:szCs w:val="24"/>
        </w:rPr>
        <w:t>ould be of benefit to pediatric and adult providers since it takes in to account family hypercholesterolemia.</w:t>
      </w:r>
    </w:p>
    <w:p w14:paraId="29393972" w14:textId="27A5A727" w:rsidR="00D72BEB" w:rsidRPr="00AA552C" w:rsidRDefault="007B55A3" w:rsidP="00DB5BD6">
      <w:pPr>
        <w:pStyle w:val="ListParagraph"/>
        <w:numPr>
          <w:ilvl w:val="4"/>
          <w:numId w:val="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lastRenderedPageBreak/>
        <w:t>Some WG members felt that the 30-Year Calculator may</w:t>
      </w:r>
      <w:r w:rsidR="00D72BEB" w:rsidRPr="00AA552C">
        <w:rPr>
          <w:rFonts w:ascii="Calibri" w:eastAsia="Calibri" w:hAnsi="Calibri" w:cs="Times New Roman"/>
          <w:kern w:val="24"/>
          <w:szCs w:val="24"/>
        </w:rPr>
        <w:t xml:space="preserve"> not</w:t>
      </w:r>
      <w:r w:rsidRPr="00AA552C">
        <w:rPr>
          <w:rFonts w:ascii="Calibri" w:eastAsia="Calibri" w:hAnsi="Calibri" w:cs="Times New Roman"/>
          <w:kern w:val="24"/>
          <w:szCs w:val="24"/>
        </w:rPr>
        <w:t xml:space="preserve"> be</w:t>
      </w:r>
      <w:r w:rsidR="00D72BEB" w:rsidRPr="00AA552C">
        <w:rPr>
          <w:rFonts w:ascii="Calibri" w:eastAsia="Calibri" w:hAnsi="Calibri" w:cs="Times New Roman"/>
          <w:kern w:val="24"/>
          <w:szCs w:val="24"/>
        </w:rPr>
        <w:t xml:space="preserve"> as accurate as the 10-Year one. </w:t>
      </w:r>
    </w:p>
    <w:p w14:paraId="190A51D8" w14:textId="6DE96CD9" w:rsidR="00DB5BD6" w:rsidRPr="00AA552C" w:rsidRDefault="00DB5BD6" w:rsidP="00DB5BD6">
      <w:pPr>
        <w:pStyle w:val="ListParagraph"/>
        <w:numPr>
          <w:ilvl w:val="3"/>
          <w:numId w:val="1"/>
        </w:numPr>
        <w:rPr>
          <w:rStyle w:val="Hyperlink"/>
          <w:color w:val="auto"/>
          <w:u w:val="none"/>
        </w:rPr>
      </w:pPr>
      <w:r w:rsidRPr="00AA552C">
        <w:t xml:space="preserve">MESA CAC Score, which can double or triple a patient’s risk that was estimated by a calculator. </w:t>
      </w:r>
      <w:r w:rsidR="00817843" w:rsidRPr="00AA552C">
        <w:t xml:space="preserve">This score uses a sub-clinical marker, but does not estimate the risk of stroke. </w:t>
      </w:r>
      <w:r w:rsidRPr="00AA552C">
        <w:t xml:space="preserve">Additional information is available at: </w:t>
      </w:r>
      <w:hyperlink r:id="rId12" w:history="1">
        <w:r w:rsidRPr="00AA552C">
          <w:rPr>
            <w:rStyle w:val="Hyperlink"/>
            <w:color w:val="auto"/>
          </w:rPr>
          <w:t>http://www.medscape.com/viewarticle/721013</w:t>
        </w:r>
      </w:hyperlink>
    </w:p>
    <w:p w14:paraId="41265FD1" w14:textId="77777777" w:rsidR="002A332C" w:rsidRPr="00AA552C" w:rsidRDefault="002A332C" w:rsidP="00817843">
      <w:pPr>
        <w:pStyle w:val="ListParagraph"/>
        <w:numPr>
          <w:ilvl w:val="4"/>
          <w:numId w:val="1"/>
        </w:numPr>
      </w:pPr>
      <w:r w:rsidRPr="00AA552C">
        <w:t xml:space="preserve">Consider adding a space/field for atherosclerotic markers as they may come in to play more in the future and/or some clinicians may find them very useful. </w:t>
      </w:r>
    </w:p>
    <w:p w14:paraId="777DA67F" w14:textId="121209AC" w:rsidR="002A332C" w:rsidRPr="00AA552C" w:rsidRDefault="002A332C" w:rsidP="00817843">
      <w:pPr>
        <w:pStyle w:val="ListParagraph"/>
        <w:numPr>
          <w:ilvl w:val="5"/>
          <w:numId w:val="1"/>
        </w:numPr>
      </w:pPr>
      <w:r w:rsidRPr="00AA552C">
        <w:t>https://www.ncbi.nlm.nih.gov/pubmed/26314356</w:t>
      </w:r>
    </w:p>
    <w:p w14:paraId="07A1A3C0" w14:textId="260DBC1A" w:rsidR="00BC536F" w:rsidRPr="00AA552C" w:rsidRDefault="00BC536F" w:rsidP="007B55A3">
      <w:pPr>
        <w:pStyle w:val="ListParagraph"/>
        <w:numPr>
          <w:ilvl w:val="2"/>
          <w:numId w:val="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N</w:t>
      </w:r>
      <w:r w:rsidR="007B55A3" w:rsidRPr="00AA552C">
        <w:rPr>
          <w:rFonts w:ascii="Calibri" w:eastAsia="Calibri" w:hAnsi="Calibri" w:cs="Times New Roman"/>
          <w:kern w:val="24"/>
          <w:szCs w:val="24"/>
        </w:rPr>
        <w:t xml:space="preserve">CQA has </w:t>
      </w:r>
      <w:r w:rsidR="00DB5BD6" w:rsidRPr="00AA552C">
        <w:rPr>
          <w:rFonts w:ascii="Calibri" w:eastAsia="Calibri" w:hAnsi="Calibri" w:cs="Times New Roman"/>
          <w:kern w:val="24"/>
          <w:szCs w:val="24"/>
        </w:rPr>
        <w:t>quality m</w:t>
      </w:r>
      <w:r w:rsidR="007B55A3" w:rsidRPr="00AA552C">
        <w:rPr>
          <w:rFonts w:ascii="Calibri" w:eastAsia="Calibri" w:hAnsi="Calibri" w:cs="Times New Roman"/>
          <w:kern w:val="24"/>
          <w:szCs w:val="24"/>
        </w:rPr>
        <w:t xml:space="preserve">etrics </w:t>
      </w:r>
      <w:r w:rsidRPr="00AA552C">
        <w:rPr>
          <w:rFonts w:ascii="Calibri" w:eastAsia="Calibri" w:hAnsi="Calibri" w:cs="Times New Roman"/>
          <w:kern w:val="24"/>
          <w:szCs w:val="24"/>
        </w:rPr>
        <w:t xml:space="preserve">that may translate </w:t>
      </w:r>
      <w:r w:rsidR="00AE3503" w:rsidRPr="00AA552C">
        <w:rPr>
          <w:rFonts w:ascii="Calibri" w:eastAsia="Calibri" w:hAnsi="Calibri" w:cs="Times New Roman"/>
          <w:kern w:val="24"/>
          <w:szCs w:val="24"/>
        </w:rPr>
        <w:t xml:space="preserve">in </w:t>
      </w:r>
      <w:r w:rsidRPr="00AA552C">
        <w:rPr>
          <w:rFonts w:ascii="Calibri" w:eastAsia="Calibri" w:hAnsi="Calibri" w:cs="Times New Roman"/>
          <w:kern w:val="24"/>
          <w:szCs w:val="24"/>
        </w:rPr>
        <w:t>to artifacts</w:t>
      </w:r>
    </w:p>
    <w:p w14:paraId="494C0F40" w14:textId="77777777" w:rsidR="00DB5BD6" w:rsidRPr="00AA552C" w:rsidRDefault="007B55A3" w:rsidP="00DB5BD6">
      <w:pPr>
        <w:pStyle w:val="ListParagraph"/>
        <w:numPr>
          <w:ilvl w:val="3"/>
          <w:numId w:val="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 xml:space="preserve">There is one related to </w:t>
      </w:r>
      <w:r w:rsidR="00BC536F" w:rsidRPr="00AA552C">
        <w:rPr>
          <w:rFonts w:ascii="Calibri" w:eastAsia="Calibri" w:hAnsi="Calibri" w:cs="Times New Roman"/>
          <w:kern w:val="24"/>
          <w:szCs w:val="24"/>
        </w:rPr>
        <w:t xml:space="preserve">statin use </w:t>
      </w:r>
      <w:r w:rsidRPr="00AA552C">
        <w:rPr>
          <w:rFonts w:ascii="Calibri" w:eastAsia="Calibri" w:hAnsi="Calibri" w:cs="Times New Roman"/>
          <w:kern w:val="24"/>
          <w:szCs w:val="24"/>
        </w:rPr>
        <w:t xml:space="preserve">for </w:t>
      </w:r>
      <w:r w:rsidR="00BC536F" w:rsidRPr="00AA552C">
        <w:rPr>
          <w:rFonts w:ascii="Calibri" w:eastAsia="Calibri" w:hAnsi="Calibri" w:cs="Times New Roman"/>
          <w:kern w:val="24"/>
          <w:szCs w:val="24"/>
        </w:rPr>
        <w:t>diabetics (which is a secondary pr</w:t>
      </w:r>
      <w:r w:rsidRPr="00AA552C">
        <w:rPr>
          <w:rFonts w:ascii="Calibri" w:eastAsia="Calibri" w:hAnsi="Calibri" w:cs="Times New Roman"/>
          <w:kern w:val="24"/>
          <w:szCs w:val="24"/>
        </w:rPr>
        <w:t xml:space="preserve">evention metric), and other related to </w:t>
      </w:r>
      <w:r w:rsidR="00BC536F" w:rsidRPr="00AA552C">
        <w:rPr>
          <w:rFonts w:ascii="Calibri" w:eastAsia="Calibri" w:hAnsi="Calibri" w:cs="Times New Roman"/>
          <w:kern w:val="24"/>
          <w:szCs w:val="24"/>
        </w:rPr>
        <w:t>aspirin (which is a primary prevention metric). The aspirin met</w:t>
      </w:r>
      <w:r w:rsidRPr="00AA552C">
        <w:rPr>
          <w:rFonts w:ascii="Calibri" w:eastAsia="Calibri" w:hAnsi="Calibri" w:cs="Times New Roman"/>
          <w:kern w:val="24"/>
          <w:szCs w:val="24"/>
        </w:rPr>
        <w:t xml:space="preserve">ric is based on the CAHPS survey and seems to parallel the aligned MU measures. </w:t>
      </w:r>
    </w:p>
    <w:p w14:paraId="5DCA6525" w14:textId="10EB0647" w:rsidR="009E3831" w:rsidRPr="00AA552C" w:rsidRDefault="00BC536F" w:rsidP="007B55A3">
      <w:pPr>
        <w:pStyle w:val="ListParagraph"/>
        <w:numPr>
          <w:ilvl w:val="2"/>
          <w:numId w:val="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 xml:space="preserve">Million Hearts is updating their eCQM table to accommodate upcoming program changes (e.g., MIPS and MACRA). Changes to their recommended eCQMs will be posted in early 2017. </w:t>
      </w:r>
    </w:p>
    <w:p w14:paraId="7BBA19FC" w14:textId="4D635B52" w:rsidR="00DB5BD6" w:rsidRPr="00AA552C" w:rsidRDefault="00DB5BD6" w:rsidP="00DB5BD6">
      <w:pPr>
        <w:pStyle w:val="ListParagraph"/>
        <w:numPr>
          <w:ilvl w:val="3"/>
          <w:numId w:val="1"/>
        </w:numPr>
        <w:spacing w:after="0" w:line="240" w:lineRule="auto"/>
        <w:rPr>
          <w:rFonts w:ascii="Calibri" w:eastAsia="Calibri" w:hAnsi="Calibri" w:cs="Times New Roman"/>
          <w:kern w:val="24"/>
          <w:szCs w:val="24"/>
        </w:rPr>
      </w:pPr>
      <w:r w:rsidRPr="00AA552C">
        <w:rPr>
          <w:rFonts w:ascii="Calibri" w:eastAsia="Calibri" w:hAnsi="Calibri" w:cs="Times New Roman"/>
          <w:b/>
          <w:kern w:val="24"/>
          <w:szCs w:val="24"/>
        </w:rPr>
        <w:t>NOTE:</w:t>
      </w:r>
      <w:r w:rsidRPr="00AA552C">
        <w:rPr>
          <w:rFonts w:ascii="Calibri" w:eastAsia="Calibri" w:hAnsi="Calibri" w:cs="Times New Roman"/>
          <w:kern w:val="24"/>
          <w:szCs w:val="24"/>
        </w:rPr>
        <w:t xml:space="preserve"> If looking for additional artifacts on a broader scale the full list of eCQMs that address the ABCS of heart health listed on the Million Hearts website can be considered.  </w:t>
      </w:r>
    </w:p>
    <w:p w14:paraId="250ED718" w14:textId="77777777" w:rsidR="00DB5BD6" w:rsidRPr="00AA552C" w:rsidRDefault="00DB5BD6" w:rsidP="00DB5BD6">
      <w:pPr>
        <w:pStyle w:val="ListParagraph"/>
        <w:numPr>
          <w:ilvl w:val="2"/>
          <w:numId w:val="1"/>
        </w:numPr>
      </w:pPr>
      <w:r w:rsidRPr="00AA552C">
        <w:t>Rules</w:t>
      </w:r>
    </w:p>
    <w:p w14:paraId="455E81CB" w14:textId="77777777" w:rsidR="00DB5BD6" w:rsidRPr="00AA552C" w:rsidRDefault="00DB5BD6" w:rsidP="00DB5BD6">
      <w:pPr>
        <w:pStyle w:val="ListParagraph"/>
        <w:numPr>
          <w:ilvl w:val="3"/>
          <w:numId w:val="1"/>
        </w:numPr>
      </w:pPr>
      <w:r w:rsidRPr="00AA552C">
        <w:t>The Workgroup members suggested that one of the first filters for information for the base risk calculator should be– Does the patient have a history of ASCVD? If yes, the calculator is not appropriate. If no, proceed to use.</w:t>
      </w:r>
    </w:p>
    <w:p w14:paraId="55A62CED" w14:textId="77777777" w:rsidR="00DB5BD6" w:rsidRPr="00AA552C" w:rsidRDefault="00DB5BD6" w:rsidP="00DB5BD6">
      <w:pPr>
        <w:pStyle w:val="ListParagraph"/>
        <w:numPr>
          <w:ilvl w:val="4"/>
          <w:numId w:val="1"/>
        </w:numPr>
      </w:pPr>
      <w:r w:rsidRPr="00AA552C">
        <w:rPr>
          <w:b/>
        </w:rPr>
        <w:t>NOTE:</w:t>
      </w:r>
      <w:r w:rsidRPr="00AA552C">
        <w:t xml:space="preserve"> The ACC/AHA guidelines send the clinician directly to the calculator if the patient does not have ASCVD. The USPTF guidelines send the clinician to the calculator only if at least 1 risk factor is present. </w:t>
      </w:r>
      <w:r w:rsidRPr="00AA552C">
        <w:rPr>
          <w:u w:val="single"/>
        </w:rPr>
        <w:t xml:space="preserve">We will need to determine which one of these approaches we turn in to a rule. </w:t>
      </w:r>
    </w:p>
    <w:p w14:paraId="6AAD878E" w14:textId="39C65BE0" w:rsidR="00DB5BD6" w:rsidRPr="00AA552C" w:rsidRDefault="00DB5BD6" w:rsidP="00DB5BD6">
      <w:pPr>
        <w:pStyle w:val="ListParagraph"/>
        <w:numPr>
          <w:ilvl w:val="3"/>
          <w:numId w:val="1"/>
        </w:numPr>
      </w:pPr>
      <w:r w:rsidRPr="00AA552C">
        <w:t>Suggested creating rules to place patients in buckets based on the 4 risk groups that could benefit from lipid lowering therapy (LLT). This will ensure that the right person gets the right treatment.</w:t>
      </w:r>
    </w:p>
    <w:p w14:paraId="1E365484" w14:textId="77777777" w:rsidR="00DB5BD6" w:rsidRPr="00AA552C" w:rsidRDefault="00DB5BD6" w:rsidP="00DB5BD6">
      <w:pPr>
        <w:pStyle w:val="ListParagraph"/>
        <w:numPr>
          <w:ilvl w:val="4"/>
          <w:numId w:val="1"/>
        </w:numPr>
      </w:pPr>
      <w:r w:rsidRPr="00AA552C">
        <w:t>Individuals with clinical ASCVD</w:t>
      </w:r>
    </w:p>
    <w:p w14:paraId="2554FE15" w14:textId="77777777" w:rsidR="00DB5BD6" w:rsidRPr="00AA552C" w:rsidRDefault="00DB5BD6" w:rsidP="00DB5BD6">
      <w:pPr>
        <w:pStyle w:val="ListParagraph"/>
        <w:numPr>
          <w:ilvl w:val="4"/>
          <w:numId w:val="1"/>
        </w:numPr>
      </w:pPr>
      <w:r w:rsidRPr="00AA552C">
        <w:t>Individuals with primary elevations of LDL-C&gt;= 190 mg/dL</w:t>
      </w:r>
    </w:p>
    <w:p w14:paraId="48A432F6" w14:textId="77777777" w:rsidR="00DB5BD6" w:rsidRPr="00AA552C" w:rsidRDefault="00DB5BD6" w:rsidP="00DB5BD6">
      <w:pPr>
        <w:pStyle w:val="ListParagraph"/>
        <w:numPr>
          <w:ilvl w:val="4"/>
          <w:numId w:val="1"/>
        </w:numPr>
      </w:pPr>
      <w:r w:rsidRPr="00AA552C">
        <w:t>Individuals 40-75 year of age with diabetes and LDL-C 70-189 mg/dL without clinical ASCVD</w:t>
      </w:r>
    </w:p>
    <w:p w14:paraId="7523FAD6" w14:textId="6BE98CE5" w:rsidR="00DB5BD6" w:rsidRPr="00AA552C" w:rsidRDefault="00DB5BD6" w:rsidP="00AE3503">
      <w:pPr>
        <w:pStyle w:val="ListParagraph"/>
        <w:numPr>
          <w:ilvl w:val="4"/>
          <w:numId w:val="1"/>
        </w:numPr>
      </w:pPr>
      <w:r w:rsidRPr="00AA552C">
        <w:t>Individuals without clinical ASCVD or diabetes who are 40-75 year of age and have LDLD-C 70-189 mg/dL and an estimated 10-year ASCVD risk of &gt;= 7.5%. This requires a discussion with the clinician.</w:t>
      </w:r>
    </w:p>
    <w:p w14:paraId="011B4C3C" w14:textId="280EAF9A" w:rsidR="000F553A" w:rsidRPr="00AA552C" w:rsidRDefault="000F553A" w:rsidP="00320CF4">
      <w:pPr>
        <w:pStyle w:val="ListParagraph"/>
        <w:numPr>
          <w:ilvl w:val="0"/>
          <w:numId w:val="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Additional discussion topics</w:t>
      </w:r>
    </w:p>
    <w:p w14:paraId="389727AA" w14:textId="733CDDF1" w:rsidR="00320CF4" w:rsidRPr="00AA552C" w:rsidRDefault="00AE3503" w:rsidP="000F553A">
      <w:pPr>
        <w:pStyle w:val="ListParagraph"/>
        <w:numPr>
          <w:ilvl w:val="0"/>
          <w:numId w:val="1"/>
        </w:numPr>
        <w:spacing w:after="0" w:line="240" w:lineRule="auto"/>
        <w:ind w:left="1080"/>
        <w:rPr>
          <w:rFonts w:ascii="Calibri" w:eastAsia="Calibri" w:hAnsi="Calibri" w:cs="Times New Roman"/>
          <w:kern w:val="24"/>
          <w:szCs w:val="24"/>
        </w:rPr>
      </w:pPr>
      <w:r w:rsidRPr="00AA552C">
        <w:rPr>
          <w:rFonts w:ascii="Calibri" w:eastAsia="Calibri" w:hAnsi="Calibri" w:cs="Times New Roman"/>
          <w:kern w:val="24"/>
          <w:szCs w:val="24"/>
        </w:rPr>
        <w:t xml:space="preserve">The WG discussed the </w:t>
      </w:r>
      <w:r w:rsidRPr="00AA552C">
        <w:rPr>
          <w:rFonts w:ascii="Calibri" w:eastAsia="Calibri" w:hAnsi="Calibri" w:cs="Times New Roman"/>
          <w:kern w:val="24"/>
          <w:szCs w:val="24"/>
          <w:u w:val="single"/>
        </w:rPr>
        <w:t>scope of CDS</w:t>
      </w:r>
      <w:r w:rsidRPr="00AA552C">
        <w:rPr>
          <w:rFonts w:ascii="Calibri" w:eastAsia="Calibri" w:hAnsi="Calibri" w:cs="Times New Roman"/>
          <w:kern w:val="24"/>
          <w:szCs w:val="24"/>
        </w:rPr>
        <w:t xml:space="preserve"> that may be developed in the area of cholesterol management (i.e. supporting the screening and prevention of ASCVD of adult patients in outpatient care settings) </w:t>
      </w:r>
    </w:p>
    <w:p w14:paraId="19D97BD4" w14:textId="63D2305C" w:rsidR="00320CF4" w:rsidRPr="00AA552C" w:rsidRDefault="00320CF4" w:rsidP="000F553A">
      <w:pPr>
        <w:pStyle w:val="ListParagraph"/>
        <w:numPr>
          <w:ilvl w:val="0"/>
          <w:numId w:val="7"/>
        </w:numPr>
        <w:spacing w:after="0" w:line="240" w:lineRule="auto"/>
        <w:ind w:left="1800"/>
        <w:rPr>
          <w:rFonts w:ascii="Calibri" w:eastAsia="Calibri" w:hAnsi="Calibri" w:cs="Times New Roman"/>
          <w:kern w:val="24"/>
          <w:szCs w:val="24"/>
        </w:rPr>
      </w:pPr>
      <w:r w:rsidRPr="00AA552C">
        <w:rPr>
          <w:rFonts w:ascii="Calibri" w:eastAsia="Calibri" w:hAnsi="Calibri" w:cs="Times New Roman"/>
          <w:kern w:val="24"/>
          <w:szCs w:val="24"/>
        </w:rPr>
        <w:t xml:space="preserve">The </w:t>
      </w:r>
      <w:r w:rsidR="002F4B77" w:rsidRPr="00AA552C">
        <w:rPr>
          <w:rFonts w:ascii="Calibri" w:eastAsia="Calibri" w:hAnsi="Calibri" w:cs="Times New Roman"/>
          <w:kern w:val="24"/>
          <w:szCs w:val="24"/>
        </w:rPr>
        <w:t>WG</w:t>
      </w:r>
      <w:r w:rsidRPr="00AA552C">
        <w:rPr>
          <w:rFonts w:ascii="Calibri" w:eastAsia="Calibri" w:hAnsi="Calibri" w:cs="Times New Roman"/>
          <w:kern w:val="24"/>
          <w:szCs w:val="24"/>
        </w:rPr>
        <w:t xml:space="preserve"> felt that if </w:t>
      </w:r>
      <w:r w:rsidR="00AE3503" w:rsidRPr="00AA552C">
        <w:rPr>
          <w:rFonts w:ascii="Calibri" w:eastAsia="Calibri" w:hAnsi="Calibri" w:cs="Times New Roman"/>
          <w:kern w:val="24"/>
          <w:szCs w:val="24"/>
        </w:rPr>
        <w:t>we</w:t>
      </w:r>
      <w:r w:rsidRPr="00AA552C">
        <w:rPr>
          <w:rFonts w:ascii="Calibri" w:eastAsia="Calibri" w:hAnsi="Calibri" w:cs="Times New Roman"/>
          <w:kern w:val="24"/>
          <w:szCs w:val="24"/>
        </w:rPr>
        <w:t xml:space="preserve"> avoid the prompt to consider the initiation of s</w:t>
      </w:r>
      <w:r w:rsidR="002A332C" w:rsidRPr="00AA552C">
        <w:rPr>
          <w:rFonts w:ascii="Calibri" w:eastAsia="Calibri" w:hAnsi="Calibri" w:cs="Times New Roman"/>
          <w:kern w:val="24"/>
          <w:szCs w:val="24"/>
        </w:rPr>
        <w:t xml:space="preserve">tatins </w:t>
      </w:r>
      <w:r w:rsidR="002F4B77" w:rsidRPr="00AA552C">
        <w:rPr>
          <w:rFonts w:ascii="Calibri" w:eastAsia="Calibri" w:hAnsi="Calibri" w:cs="Times New Roman"/>
          <w:kern w:val="24"/>
          <w:szCs w:val="24"/>
        </w:rPr>
        <w:t>where indicated</w:t>
      </w:r>
      <w:r w:rsidR="00AE3503" w:rsidRPr="00AA552C">
        <w:rPr>
          <w:rFonts w:ascii="Calibri" w:eastAsia="Calibri" w:hAnsi="Calibri" w:cs="Times New Roman"/>
          <w:kern w:val="24"/>
          <w:szCs w:val="24"/>
        </w:rPr>
        <w:t xml:space="preserve"> for primary prevention</w:t>
      </w:r>
      <w:r w:rsidR="002A332C" w:rsidRPr="00AA552C">
        <w:rPr>
          <w:rFonts w:ascii="Calibri" w:eastAsia="Calibri" w:hAnsi="Calibri" w:cs="Times New Roman"/>
          <w:kern w:val="24"/>
          <w:szCs w:val="24"/>
        </w:rPr>
        <w:t xml:space="preserve"> </w:t>
      </w:r>
      <w:r w:rsidR="00AE3503" w:rsidRPr="00AA552C">
        <w:rPr>
          <w:rFonts w:ascii="Calibri" w:eastAsia="Calibri" w:hAnsi="Calibri" w:cs="Times New Roman"/>
          <w:kern w:val="24"/>
          <w:szCs w:val="24"/>
        </w:rPr>
        <w:t>then we</w:t>
      </w:r>
      <w:r w:rsidRPr="00AA552C">
        <w:rPr>
          <w:rFonts w:ascii="Calibri" w:eastAsia="Calibri" w:hAnsi="Calibri" w:cs="Times New Roman"/>
          <w:kern w:val="24"/>
          <w:szCs w:val="24"/>
        </w:rPr>
        <w:t xml:space="preserve"> are </w:t>
      </w:r>
      <w:r w:rsidR="002F4B77" w:rsidRPr="00AA552C">
        <w:rPr>
          <w:rFonts w:ascii="Calibri" w:eastAsia="Calibri" w:hAnsi="Calibri" w:cs="Times New Roman"/>
          <w:kern w:val="24"/>
          <w:szCs w:val="24"/>
        </w:rPr>
        <w:t>going to miss a</w:t>
      </w:r>
      <w:r w:rsidRPr="00AA552C">
        <w:rPr>
          <w:rFonts w:ascii="Calibri" w:eastAsia="Calibri" w:hAnsi="Calibri" w:cs="Times New Roman"/>
          <w:kern w:val="24"/>
          <w:szCs w:val="24"/>
        </w:rPr>
        <w:t xml:space="preserve"> huge component of care. </w:t>
      </w:r>
      <w:r w:rsidR="00AE3503" w:rsidRPr="00AA552C">
        <w:rPr>
          <w:rFonts w:ascii="Calibri" w:eastAsia="Calibri" w:hAnsi="Calibri" w:cs="Times New Roman"/>
          <w:kern w:val="24"/>
          <w:szCs w:val="24"/>
        </w:rPr>
        <w:t>They suggested that if we don’t go any fu</w:t>
      </w:r>
      <w:r w:rsidRPr="00AA552C">
        <w:rPr>
          <w:rFonts w:ascii="Calibri" w:eastAsia="Calibri" w:hAnsi="Calibri" w:cs="Times New Roman"/>
          <w:kern w:val="24"/>
          <w:szCs w:val="24"/>
        </w:rPr>
        <w:t xml:space="preserve">rther in to medications, </w:t>
      </w:r>
      <w:r w:rsidR="00AE3503" w:rsidRPr="00AA552C">
        <w:rPr>
          <w:rFonts w:ascii="Calibri" w:eastAsia="Calibri" w:hAnsi="Calibri" w:cs="Times New Roman"/>
          <w:kern w:val="24"/>
          <w:szCs w:val="24"/>
        </w:rPr>
        <w:t>we</w:t>
      </w:r>
      <w:r w:rsidR="002F4B77" w:rsidRPr="00AA552C">
        <w:rPr>
          <w:rFonts w:ascii="Calibri" w:eastAsia="Calibri" w:hAnsi="Calibri" w:cs="Times New Roman"/>
          <w:kern w:val="24"/>
          <w:szCs w:val="24"/>
        </w:rPr>
        <w:t xml:space="preserve"> </w:t>
      </w:r>
      <w:r w:rsidR="00AE3503" w:rsidRPr="00AA552C">
        <w:rPr>
          <w:rFonts w:ascii="Calibri" w:eastAsia="Calibri" w:hAnsi="Calibri" w:cs="Times New Roman"/>
          <w:kern w:val="24"/>
          <w:szCs w:val="24"/>
        </w:rPr>
        <w:t>should consider</w:t>
      </w:r>
      <w:r w:rsidRPr="00AA552C">
        <w:rPr>
          <w:rFonts w:ascii="Calibri" w:eastAsia="Calibri" w:hAnsi="Calibri" w:cs="Times New Roman"/>
          <w:kern w:val="24"/>
          <w:szCs w:val="24"/>
        </w:rPr>
        <w:t xml:space="preserve"> a way to incorporate this recommendation.</w:t>
      </w:r>
    </w:p>
    <w:p w14:paraId="47702A0A" w14:textId="1FE8A927" w:rsidR="00320CF4" w:rsidRPr="00AA552C" w:rsidRDefault="00320CF4" w:rsidP="000F553A">
      <w:pPr>
        <w:pStyle w:val="ListParagraph"/>
        <w:numPr>
          <w:ilvl w:val="0"/>
          <w:numId w:val="7"/>
        </w:numPr>
        <w:spacing w:after="0" w:line="240" w:lineRule="auto"/>
        <w:ind w:left="1800"/>
        <w:rPr>
          <w:rFonts w:ascii="Calibri" w:eastAsia="Calibri" w:hAnsi="Calibri" w:cs="Times New Roman"/>
          <w:kern w:val="24"/>
          <w:szCs w:val="24"/>
        </w:rPr>
      </w:pPr>
      <w:r w:rsidRPr="00AA552C">
        <w:rPr>
          <w:rFonts w:ascii="Calibri" w:eastAsia="Calibri" w:hAnsi="Calibri" w:cs="Times New Roman"/>
          <w:kern w:val="24"/>
          <w:szCs w:val="24"/>
        </w:rPr>
        <w:t>They recommend</w:t>
      </w:r>
      <w:r w:rsidR="002F4B77" w:rsidRPr="00AA552C">
        <w:rPr>
          <w:rFonts w:ascii="Calibri" w:eastAsia="Calibri" w:hAnsi="Calibri" w:cs="Times New Roman"/>
          <w:kern w:val="24"/>
          <w:szCs w:val="24"/>
        </w:rPr>
        <w:t>ed</w:t>
      </w:r>
      <w:r w:rsidRPr="00AA552C">
        <w:rPr>
          <w:rFonts w:ascii="Calibri" w:eastAsia="Calibri" w:hAnsi="Calibri" w:cs="Times New Roman"/>
          <w:kern w:val="24"/>
          <w:szCs w:val="24"/>
        </w:rPr>
        <w:t xml:space="preserve"> that </w:t>
      </w:r>
      <w:r w:rsidR="0051056B">
        <w:rPr>
          <w:rFonts w:ascii="Calibri" w:eastAsia="Calibri" w:hAnsi="Calibri" w:cs="Times New Roman"/>
          <w:kern w:val="24"/>
          <w:szCs w:val="24"/>
        </w:rPr>
        <w:t>CAMH</w:t>
      </w:r>
      <w:r w:rsidRPr="00AA552C">
        <w:rPr>
          <w:rFonts w:ascii="Calibri" w:eastAsia="Calibri" w:hAnsi="Calibri" w:cs="Times New Roman"/>
          <w:kern w:val="24"/>
          <w:szCs w:val="24"/>
        </w:rPr>
        <w:t xml:space="preserve"> also look in to supporting some components of secondary prevention. </w:t>
      </w:r>
      <w:r w:rsidR="00DB5BD6" w:rsidRPr="00AA552C">
        <w:rPr>
          <w:rFonts w:ascii="Calibri" w:eastAsia="Calibri" w:hAnsi="Calibri" w:cs="Times New Roman"/>
          <w:kern w:val="24"/>
          <w:szCs w:val="24"/>
        </w:rPr>
        <w:t xml:space="preserve">Even if </w:t>
      </w:r>
      <w:r w:rsidRPr="00AA552C">
        <w:rPr>
          <w:rFonts w:ascii="Calibri" w:eastAsia="Calibri" w:hAnsi="Calibri" w:cs="Times New Roman"/>
          <w:kern w:val="24"/>
          <w:szCs w:val="24"/>
        </w:rPr>
        <w:t xml:space="preserve">medication management </w:t>
      </w:r>
      <w:r w:rsidR="00DB5BD6" w:rsidRPr="00AA552C">
        <w:rPr>
          <w:rFonts w:ascii="Calibri" w:eastAsia="Calibri" w:hAnsi="Calibri" w:cs="Times New Roman"/>
          <w:kern w:val="24"/>
          <w:szCs w:val="24"/>
        </w:rPr>
        <w:t>is not addressed, there may be other interventions and recommendation</w:t>
      </w:r>
      <w:r w:rsidR="00AE3503" w:rsidRPr="00AA552C">
        <w:rPr>
          <w:rFonts w:ascii="Calibri" w:eastAsia="Calibri" w:hAnsi="Calibri" w:cs="Times New Roman"/>
          <w:kern w:val="24"/>
          <w:szCs w:val="24"/>
        </w:rPr>
        <w:t>s</w:t>
      </w:r>
      <w:r w:rsidR="00DB5BD6" w:rsidRPr="00AA552C">
        <w:rPr>
          <w:rFonts w:ascii="Calibri" w:eastAsia="Calibri" w:hAnsi="Calibri" w:cs="Times New Roman"/>
          <w:kern w:val="24"/>
          <w:szCs w:val="24"/>
        </w:rPr>
        <w:t xml:space="preserve"> for patients that already have</w:t>
      </w:r>
      <w:r w:rsidRPr="00AA552C">
        <w:rPr>
          <w:rFonts w:ascii="Calibri" w:eastAsia="Calibri" w:hAnsi="Calibri" w:cs="Times New Roman"/>
          <w:kern w:val="24"/>
          <w:szCs w:val="24"/>
        </w:rPr>
        <w:t xml:space="preserve"> ASCVD or diabetes.</w:t>
      </w:r>
    </w:p>
    <w:p w14:paraId="2FE88567" w14:textId="0A21A6A3" w:rsidR="000F553A" w:rsidRPr="00AA552C" w:rsidRDefault="00AE3503" w:rsidP="000F553A">
      <w:pPr>
        <w:pStyle w:val="ListParagraph"/>
        <w:numPr>
          <w:ilvl w:val="0"/>
          <w:numId w:val="8"/>
        </w:numPr>
        <w:ind w:left="1080"/>
      </w:pPr>
      <w:r w:rsidRPr="00AA552C">
        <w:rPr>
          <w:u w:val="single"/>
        </w:rPr>
        <w:t>Shared decision making (SDM)</w:t>
      </w:r>
      <w:r w:rsidRPr="00AA552C">
        <w:t xml:space="preserve"> was discussed, along with how CDS can be used to facilitate SDM. It is envisioned that the new Longitudinal ASCVD Risk Assessment can be used to support SDM by allowing the </w:t>
      </w:r>
      <w:r w:rsidRPr="00AA552C">
        <w:lastRenderedPageBreak/>
        <w:t>provider and patient adjust the intervention values in the calculator (e.g., aspirin initiate</w:t>
      </w:r>
      <w:r w:rsidR="002A332C" w:rsidRPr="00AA552C">
        <w:t>d</w:t>
      </w:r>
      <w:r w:rsidRPr="00AA552C">
        <w:t xml:space="preserve">, statin initiated) </w:t>
      </w:r>
      <w:r w:rsidR="000F553A" w:rsidRPr="00AA552C">
        <w:t>while discussing the benefits and harms of each intervention to facilitate an informed decision.  It was noted that t</w:t>
      </w:r>
      <w:r w:rsidR="002E6089" w:rsidRPr="00AA552C">
        <w:t xml:space="preserve">he way that data is displayed to both the provider and the patient can highly influence the decision. We will need to be </w:t>
      </w:r>
      <w:r w:rsidR="000F553A" w:rsidRPr="00AA552C">
        <w:t>very careful with the UI that is</w:t>
      </w:r>
      <w:r w:rsidR="002E6089" w:rsidRPr="00AA552C">
        <w:t xml:space="preserve"> design</w:t>
      </w:r>
      <w:r w:rsidR="000F553A" w:rsidRPr="00AA552C">
        <w:t>ed</w:t>
      </w:r>
      <w:r w:rsidR="002E6089" w:rsidRPr="00AA552C">
        <w:t xml:space="preserve">. Calibration is critical. </w:t>
      </w:r>
    </w:p>
    <w:p w14:paraId="25248841" w14:textId="334C64B3" w:rsidR="007E0B01" w:rsidRPr="00AA552C" w:rsidRDefault="002E6089" w:rsidP="000F553A">
      <w:pPr>
        <w:pStyle w:val="ListParagraph"/>
        <w:numPr>
          <w:ilvl w:val="0"/>
          <w:numId w:val="8"/>
        </w:numPr>
        <w:ind w:left="1080"/>
      </w:pPr>
      <w:r w:rsidRPr="00AA552C">
        <w:rPr>
          <w:u w:val="single"/>
        </w:rPr>
        <w:t>CPG/eCQM alignment</w:t>
      </w:r>
      <w:r w:rsidRPr="00AA552C">
        <w:t>: We definitely want to consider this and ensure that we are not guiding clinicians towards care that is in disagreement with other rules that we implement</w:t>
      </w:r>
      <w:r w:rsidR="00F6534E" w:rsidRPr="00AA552C">
        <w:t xml:space="preserve"> and/or the most recent CPGs</w:t>
      </w:r>
      <w:r w:rsidRPr="00AA552C">
        <w:t xml:space="preserve">. </w:t>
      </w:r>
    </w:p>
    <w:p w14:paraId="058BF02C" w14:textId="55540D0D" w:rsidR="0087264B" w:rsidRPr="00AA552C" w:rsidRDefault="007E0B01" w:rsidP="000F553A">
      <w:pPr>
        <w:pStyle w:val="ListParagraph"/>
        <w:numPr>
          <w:ilvl w:val="1"/>
          <w:numId w:val="8"/>
        </w:numPr>
        <w:ind w:left="1800"/>
      </w:pPr>
      <w:r w:rsidRPr="00AA552C">
        <w:t>A</w:t>
      </w:r>
      <w:r w:rsidR="00F6534E" w:rsidRPr="00AA552C">
        <w:t>ll agreed</w:t>
      </w:r>
      <w:r w:rsidRPr="00AA552C">
        <w:t xml:space="preserve"> with this</w:t>
      </w:r>
      <w:r w:rsidR="002E6089" w:rsidRPr="00AA552C">
        <w:t>. CQL was created for this purpose – to share logic.</w:t>
      </w:r>
      <w:r w:rsidR="00F6534E" w:rsidRPr="00AA552C">
        <w:t xml:space="preserve"> For this reason, </w:t>
      </w:r>
      <w:r w:rsidR="0087264B" w:rsidRPr="00AA552C">
        <w:t>C</w:t>
      </w:r>
      <w:r w:rsidR="00F6534E" w:rsidRPr="00AA552C">
        <w:t>MS64</w:t>
      </w:r>
      <w:r w:rsidR="0087264B" w:rsidRPr="00AA552C">
        <w:t xml:space="preserve"> may be out of date since it prompts treatment against LDL goals instead o</w:t>
      </w:r>
      <w:r w:rsidR="00FE10E7" w:rsidRPr="00AA552C">
        <w:t xml:space="preserve">f against risk score, </w:t>
      </w:r>
      <w:r w:rsidR="00F6534E" w:rsidRPr="00AA552C">
        <w:t xml:space="preserve">therefore </w:t>
      </w:r>
      <w:r w:rsidR="00FE10E7" w:rsidRPr="00AA552C">
        <w:t>may not be</w:t>
      </w:r>
      <w:r w:rsidR="0087264B" w:rsidRPr="00AA552C">
        <w:t xml:space="preserve"> included as an </w:t>
      </w:r>
      <w:r w:rsidR="00FE10E7" w:rsidRPr="00AA552C">
        <w:t>artifact</w:t>
      </w:r>
      <w:r w:rsidR="00F6534E" w:rsidRPr="00AA552C">
        <w:t>.</w:t>
      </w:r>
      <w:r w:rsidR="002E6089" w:rsidRPr="00AA552C">
        <w:t xml:space="preserve"> </w:t>
      </w:r>
    </w:p>
    <w:p w14:paraId="64897131" w14:textId="21C38BD5" w:rsidR="002E6089" w:rsidRPr="00AA552C" w:rsidRDefault="002E6089" w:rsidP="000F553A">
      <w:pPr>
        <w:pStyle w:val="ListParagraph"/>
        <w:numPr>
          <w:ilvl w:val="0"/>
          <w:numId w:val="8"/>
        </w:numPr>
        <w:ind w:left="1080"/>
      </w:pPr>
      <w:r w:rsidRPr="00AA552C">
        <w:rPr>
          <w:u w:val="single"/>
        </w:rPr>
        <w:t>Provide actionable interventions.</w:t>
      </w:r>
      <w:r w:rsidRPr="00AA552C">
        <w:t xml:space="preserve"> </w:t>
      </w:r>
      <w:r w:rsidR="000F553A" w:rsidRPr="00AA552C">
        <w:t>Create order sets and care plans that are indicated by clinical findings.</w:t>
      </w:r>
    </w:p>
    <w:p w14:paraId="07C86143" w14:textId="15FA1B0F" w:rsidR="002E6089" w:rsidRPr="00AA552C" w:rsidRDefault="002E6089" w:rsidP="000F553A">
      <w:pPr>
        <w:pStyle w:val="ListParagraph"/>
        <w:numPr>
          <w:ilvl w:val="0"/>
          <w:numId w:val="8"/>
        </w:numPr>
        <w:ind w:left="1080"/>
      </w:pPr>
      <w:r w:rsidRPr="00AA552C">
        <w:t>Have someone from the CMMI team join the WG or provide insight on how they are conducting their RCT/implementation</w:t>
      </w:r>
      <w:r w:rsidR="000F553A" w:rsidRPr="00AA552C">
        <w:t xml:space="preserve"> using</w:t>
      </w:r>
      <w:r w:rsidRPr="00AA552C">
        <w:t xml:space="preserve"> the </w:t>
      </w:r>
      <w:r w:rsidR="000F553A" w:rsidRPr="00AA552C">
        <w:t>Longitudinal Risk Assessment Tool</w:t>
      </w:r>
      <w:r w:rsidRPr="00AA552C">
        <w:t xml:space="preserve">. They may be using different EHR systems. Can we leverage anything that they are doing? </w:t>
      </w:r>
    </w:p>
    <w:p w14:paraId="32EB527C" w14:textId="011BBDC3" w:rsidR="00491843" w:rsidRPr="00AA552C" w:rsidRDefault="00491843" w:rsidP="00491843">
      <w:pPr>
        <w:spacing w:after="0" w:line="240" w:lineRule="auto"/>
        <w:rPr>
          <w:rFonts w:ascii="Calibri" w:eastAsia="Calibri" w:hAnsi="Calibri" w:cs="Times New Roman"/>
          <w:b/>
          <w:kern w:val="24"/>
          <w:szCs w:val="24"/>
          <w:u w:val="single"/>
        </w:rPr>
      </w:pPr>
      <w:r w:rsidRPr="00AA552C">
        <w:rPr>
          <w:rFonts w:ascii="Calibri" w:eastAsia="Calibri" w:hAnsi="Calibri" w:cs="Times New Roman"/>
          <w:b/>
          <w:kern w:val="24"/>
          <w:szCs w:val="24"/>
          <w:u w:val="single"/>
        </w:rPr>
        <w:t xml:space="preserve">Next Steps and Close </w:t>
      </w:r>
    </w:p>
    <w:p w14:paraId="204B82F6" w14:textId="50BC3393" w:rsidR="00907367" w:rsidRPr="00AA552C" w:rsidRDefault="00907367" w:rsidP="00491843">
      <w:pPr>
        <w:spacing w:after="0" w:line="240" w:lineRule="auto"/>
        <w:rPr>
          <w:rFonts w:ascii="Calibri" w:eastAsia="Calibri" w:hAnsi="Calibri" w:cs="Times New Roman"/>
          <w:b/>
          <w:kern w:val="24"/>
          <w:szCs w:val="24"/>
          <w:u w:val="single"/>
        </w:rPr>
      </w:pPr>
    </w:p>
    <w:p w14:paraId="5F136EAF" w14:textId="031BA1AE" w:rsidR="00907367" w:rsidRPr="00AA552C" w:rsidRDefault="0051056B" w:rsidP="00491843">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00907367" w:rsidRPr="00AA552C">
        <w:rPr>
          <w:rFonts w:ascii="Calibri" w:eastAsia="Calibri" w:hAnsi="Calibri" w:cs="Times New Roman"/>
          <w:kern w:val="24"/>
          <w:szCs w:val="24"/>
        </w:rPr>
        <w:t xml:space="preserve"> and the WG members closed out the meeting with a discussion about possible topics for discussion for the next WG meeting:</w:t>
      </w:r>
    </w:p>
    <w:p w14:paraId="08C81B11" w14:textId="77777777" w:rsidR="00491843" w:rsidRPr="00AA552C" w:rsidRDefault="00491843" w:rsidP="001C1FA1">
      <w:pPr>
        <w:spacing w:after="0" w:line="240" w:lineRule="auto"/>
        <w:rPr>
          <w:rFonts w:ascii="Times New Roman" w:eastAsia="Calibri" w:hAnsi="Times New Roman" w:cs="Times New Roman"/>
          <w:kern w:val="24"/>
          <w:szCs w:val="24"/>
        </w:rPr>
      </w:pPr>
    </w:p>
    <w:p w14:paraId="0A014C3C" w14:textId="2C2CA651" w:rsidR="00F6534E" w:rsidRPr="00AA552C" w:rsidRDefault="00F6534E" w:rsidP="001C1FA1">
      <w:pPr>
        <w:pStyle w:val="BodyText"/>
        <w:numPr>
          <w:ilvl w:val="1"/>
          <w:numId w:val="11"/>
        </w:numPr>
        <w:spacing w:after="0" w:line="240" w:lineRule="auto"/>
        <w:rPr>
          <w:rFonts w:ascii="Calibri" w:hAnsi="Calibri"/>
          <w:color w:val="auto"/>
        </w:rPr>
      </w:pPr>
      <w:r w:rsidRPr="00AA552C">
        <w:rPr>
          <w:rFonts w:ascii="Calibri" w:hAnsi="Calibri"/>
          <w:color w:val="auto"/>
        </w:rPr>
        <w:t>Build out CDS artifacts that center on the 2013 ACC/AHA 10-Year ASCVD Risk Assessment Tool and the Longitudinal Risk Assessment Tool</w:t>
      </w:r>
    </w:p>
    <w:p w14:paraId="47F5469E" w14:textId="00C23787" w:rsidR="00F6534E" w:rsidRPr="00AA552C" w:rsidRDefault="00AA1922" w:rsidP="001C1FA1">
      <w:pPr>
        <w:pStyle w:val="BodyText"/>
        <w:numPr>
          <w:ilvl w:val="1"/>
          <w:numId w:val="11"/>
        </w:numPr>
        <w:spacing w:after="0" w:line="240" w:lineRule="auto"/>
        <w:rPr>
          <w:rFonts w:ascii="Calibri" w:hAnsi="Calibri"/>
          <w:color w:val="auto"/>
        </w:rPr>
      </w:pPr>
      <w:r w:rsidRPr="00AA552C">
        <w:rPr>
          <w:rFonts w:ascii="Calibri" w:hAnsi="Calibri"/>
          <w:color w:val="auto"/>
        </w:rPr>
        <w:t>Determine which CPGs (e.g., ACC/AHA, USPTF) and/or what portions of CPGs can be translated to CD</w:t>
      </w:r>
      <w:r w:rsidR="002A332C" w:rsidRPr="00AA552C">
        <w:rPr>
          <w:rFonts w:ascii="Calibri" w:hAnsi="Calibri"/>
          <w:color w:val="auto"/>
        </w:rPr>
        <w:t xml:space="preserve">S artifacts or rules (e.g., patient evaluation against the </w:t>
      </w:r>
      <w:r w:rsidRPr="00AA552C">
        <w:rPr>
          <w:rFonts w:ascii="Calibri" w:hAnsi="Calibri"/>
          <w:color w:val="auto"/>
        </w:rPr>
        <w:t>4 risk groups)</w:t>
      </w:r>
    </w:p>
    <w:p w14:paraId="4A3576C0" w14:textId="3488809B" w:rsidR="00F6534E" w:rsidRPr="00AA552C" w:rsidRDefault="00F6534E" w:rsidP="001C1FA1">
      <w:pPr>
        <w:pStyle w:val="BodyText"/>
        <w:numPr>
          <w:ilvl w:val="1"/>
          <w:numId w:val="11"/>
        </w:numPr>
        <w:spacing w:after="0" w:line="240" w:lineRule="auto"/>
        <w:rPr>
          <w:rFonts w:ascii="Calibri" w:hAnsi="Calibri"/>
          <w:color w:val="auto"/>
        </w:rPr>
      </w:pPr>
      <w:r w:rsidRPr="00AA552C">
        <w:rPr>
          <w:rFonts w:ascii="Calibri" w:hAnsi="Calibri"/>
          <w:color w:val="auto"/>
        </w:rPr>
        <w:t xml:space="preserve">Research </w:t>
      </w:r>
      <w:r w:rsidR="00AA1922" w:rsidRPr="00AA552C">
        <w:rPr>
          <w:rFonts w:ascii="Calibri" w:hAnsi="Calibri"/>
          <w:color w:val="auto"/>
        </w:rPr>
        <w:t xml:space="preserve">potential </w:t>
      </w:r>
      <w:r w:rsidRPr="00AA552C">
        <w:rPr>
          <w:rFonts w:ascii="Calibri" w:hAnsi="Calibri"/>
          <w:color w:val="auto"/>
        </w:rPr>
        <w:t xml:space="preserve">new CDS </w:t>
      </w:r>
      <w:r w:rsidR="00AA1922" w:rsidRPr="00AA552C">
        <w:rPr>
          <w:rFonts w:ascii="Calibri" w:hAnsi="Calibri"/>
          <w:color w:val="auto"/>
        </w:rPr>
        <w:t>suggestions</w:t>
      </w:r>
    </w:p>
    <w:p w14:paraId="40BCFF75" w14:textId="0094D303" w:rsidR="001C1FA1" w:rsidRPr="00AA552C" w:rsidRDefault="00AA1922" w:rsidP="001C1FA1">
      <w:pPr>
        <w:pStyle w:val="BodyText"/>
        <w:numPr>
          <w:ilvl w:val="1"/>
          <w:numId w:val="11"/>
        </w:numPr>
        <w:spacing w:after="0" w:line="240" w:lineRule="auto"/>
        <w:rPr>
          <w:rFonts w:ascii="Calibri" w:hAnsi="Calibri"/>
          <w:color w:val="auto"/>
        </w:rPr>
      </w:pPr>
      <w:r w:rsidRPr="00AA552C">
        <w:rPr>
          <w:rFonts w:ascii="Calibri" w:hAnsi="Calibri"/>
          <w:color w:val="auto"/>
        </w:rPr>
        <w:t>Monitor s</w:t>
      </w:r>
      <w:r w:rsidR="00907367" w:rsidRPr="00AA552C">
        <w:rPr>
          <w:rFonts w:ascii="Calibri" w:hAnsi="Calibri"/>
          <w:color w:val="auto"/>
        </w:rPr>
        <w:t xml:space="preserve">tate of current quality </w:t>
      </w:r>
      <w:r w:rsidR="002007C7" w:rsidRPr="00AA552C">
        <w:rPr>
          <w:rFonts w:ascii="Calibri" w:hAnsi="Calibri"/>
          <w:color w:val="auto"/>
        </w:rPr>
        <w:t xml:space="preserve">measures </w:t>
      </w:r>
      <w:r w:rsidRPr="00AA552C">
        <w:rPr>
          <w:rFonts w:ascii="Calibri" w:hAnsi="Calibri"/>
          <w:color w:val="auto"/>
        </w:rPr>
        <w:t xml:space="preserve">and </w:t>
      </w:r>
      <w:r w:rsidR="002A332C" w:rsidRPr="00AA552C">
        <w:rPr>
          <w:rFonts w:ascii="Calibri" w:hAnsi="Calibri"/>
          <w:color w:val="auto"/>
        </w:rPr>
        <w:t>the early 2017</w:t>
      </w:r>
      <w:r w:rsidRPr="00AA552C">
        <w:rPr>
          <w:rFonts w:ascii="Calibri" w:hAnsi="Calibri"/>
          <w:color w:val="auto"/>
        </w:rPr>
        <w:t xml:space="preserve"> update from Million Hearts</w:t>
      </w:r>
    </w:p>
    <w:p w14:paraId="27384F3A" w14:textId="77777777" w:rsidR="001C1FA1" w:rsidRPr="00AA552C" w:rsidRDefault="001C1FA1" w:rsidP="001C1FA1">
      <w:pPr>
        <w:pStyle w:val="BodyText"/>
        <w:spacing w:after="0" w:line="240" w:lineRule="auto"/>
        <w:rPr>
          <w:rFonts w:ascii="Calibri" w:hAnsi="Calibri"/>
          <w:color w:val="auto"/>
        </w:rPr>
      </w:pPr>
    </w:p>
    <w:p w14:paraId="2CDDAF4B" w14:textId="60912FF8" w:rsidR="001C1FA1" w:rsidRPr="00AA552C" w:rsidRDefault="00821E3B" w:rsidP="001C1FA1">
      <w:pPr>
        <w:pStyle w:val="BodyText"/>
        <w:spacing w:after="0" w:line="240" w:lineRule="auto"/>
        <w:rPr>
          <w:rFonts w:ascii="Calibri" w:hAnsi="Calibri"/>
          <w:color w:val="auto"/>
          <w:u w:val="single"/>
        </w:rPr>
      </w:pPr>
      <w:r w:rsidRPr="00AA552C">
        <w:rPr>
          <w:rFonts w:ascii="Calibri" w:hAnsi="Calibri"/>
          <w:color w:val="auto"/>
          <w:u w:val="single"/>
        </w:rPr>
        <w:t xml:space="preserve">Summary </w:t>
      </w:r>
      <w:r w:rsidR="001C1FA1" w:rsidRPr="00AA552C">
        <w:rPr>
          <w:rFonts w:ascii="Calibri" w:hAnsi="Calibri"/>
          <w:color w:val="auto"/>
          <w:u w:val="single"/>
        </w:rPr>
        <w:t>CDS Artifact Que</w:t>
      </w:r>
      <w:r w:rsidR="001A7D55" w:rsidRPr="00AA552C">
        <w:rPr>
          <w:rFonts w:ascii="Calibri" w:hAnsi="Calibri"/>
          <w:color w:val="auto"/>
          <w:u w:val="single"/>
        </w:rPr>
        <w:t>ue</w:t>
      </w:r>
      <w:r w:rsidR="001C1FA1" w:rsidRPr="00AA552C">
        <w:rPr>
          <w:rFonts w:ascii="Calibri" w:hAnsi="Calibri"/>
          <w:color w:val="auto"/>
          <w:u w:val="single"/>
        </w:rPr>
        <w:t>:</w:t>
      </w:r>
    </w:p>
    <w:p w14:paraId="2A9AA1D9" w14:textId="6D0E13F9" w:rsidR="001C1FA1" w:rsidRPr="00AA552C" w:rsidRDefault="001C1FA1" w:rsidP="001C1FA1">
      <w:pPr>
        <w:pStyle w:val="ListParagraph"/>
        <w:numPr>
          <w:ilvl w:val="1"/>
          <w:numId w:val="1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2013 ACC/AHA 10-Year ASCVD Risk Assessment Tool</w:t>
      </w:r>
      <w:r w:rsidR="006B79CE" w:rsidRPr="00AA552C">
        <w:rPr>
          <w:rFonts w:ascii="Calibri" w:eastAsia="Calibri" w:hAnsi="Calibri" w:cs="Times New Roman"/>
          <w:kern w:val="24"/>
          <w:szCs w:val="24"/>
        </w:rPr>
        <w:t xml:space="preserve"> (determine if use of this tool occurs immediately if no ASCVD or if at least 1 risk factor is present for USPTF recommendations)</w:t>
      </w:r>
    </w:p>
    <w:p w14:paraId="093FCF16" w14:textId="3699F893" w:rsidR="001C1FA1" w:rsidRPr="00AA552C" w:rsidRDefault="001C1FA1" w:rsidP="001C1FA1">
      <w:pPr>
        <w:pStyle w:val="ListParagraph"/>
        <w:numPr>
          <w:ilvl w:val="1"/>
          <w:numId w:val="1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Longitudinal Risk Assessment Tool (created by CMMI and the Million Hearts to evaluate ASCVD risk after interventions have been initiated)</w:t>
      </w:r>
    </w:p>
    <w:p w14:paraId="63A65723" w14:textId="1C42AD5F" w:rsidR="006B79CE" w:rsidRPr="00AA552C" w:rsidRDefault="006B79CE" w:rsidP="001C1FA1">
      <w:pPr>
        <w:pStyle w:val="ListParagraph"/>
        <w:numPr>
          <w:ilvl w:val="1"/>
          <w:numId w:val="1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CPGs (select portions). Sources TBD</w:t>
      </w:r>
    </w:p>
    <w:p w14:paraId="4BE1E443" w14:textId="0CDF0A99" w:rsidR="006B79CE" w:rsidRPr="00AA552C" w:rsidRDefault="006B79CE" w:rsidP="002A332C">
      <w:pPr>
        <w:pStyle w:val="ListParagraph"/>
        <w:numPr>
          <w:ilvl w:val="2"/>
          <w:numId w:val="1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Rules generated from CPGs</w:t>
      </w:r>
    </w:p>
    <w:p w14:paraId="3BB7A045" w14:textId="7B6E2532" w:rsidR="006B79CE" w:rsidRPr="00AA552C" w:rsidRDefault="006B79CE" w:rsidP="002A332C">
      <w:pPr>
        <w:pStyle w:val="ListParagraph"/>
        <w:numPr>
          <w:ilvl w:val="3"/>
          <w:numId w:val="1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ASCVD – Yes/No</w:t>
      </w:r>
    </w:p>
    <w:p w14:paraId="4B95E686" w14:textId="19609778" w:rsidR="006B79CE" w:rsidRPr="00AA552C" w:rsidRDefault="006B79CE" w:rsidP="002A332C">
      <w:pPr>
        <w:pStyle w:val="ListParagraph"/>
        <w:numPr>
          <w:ilvl w:val="3"/>
          <w:numId w:val="11"/>
        </w:numPr>
        <w:spacing w:after="0" w:line="240" w:lineRule="auto"/>
        <w:rPr>
          <w:rFonts w:ascii="Calibri" w:eastAsia="Calibri" w:hAnsi="Calibri" w:cs="Times New Roman"/>
          <w:kern w:val="24"/>
          <w:szCs w:val="24"/>
        </w:rPr>
      </w:pPr>
      <w:r w:rsidRPr="00AA552C">
        <w:rPr>
          <w:rFonts w:ascii="Calibri" w:eastAsia="Calibri" w:hAnsi="Calibri" w:cs="Times New Roman"/>
          <w:kern w:val="24"/>
          <w:szCs w:val="24"/>
        </w:rPr>
        <w:t>Determine 4 high risk groups for LLT consideration</w:t>
      </w:r>
    </w:p>
    <w:p w14:paraId="6FF83CE1" w14:textId="7BA03125" w:rsidR="001C1FA1" w:rsidRPr="00AA552C" w:rsidRDefault="001C1FA1" w:rsidP="001C1FA1">
      <w:pPr>
        <w:pStyle w:val="ListParagraph"/>
        <w:numPr>
          <w:ilvl w:val="1"/>
          <w:numId w:val="11"/>
        </w:numPr>
        <w:spacing w:after="0" w:line="240" w:lineRule="auto"/>
        <w:rPr>
          <w:rFonts w:eastAsia="Calibri" w:cs="Times New Roman"/>
          <w:kern w:val="24"/>
          <w:szCs w:val="24"/>
        </w:rPr>
      </w:pPr>
      <w:r w:rsidRPr="00AA552C">
        <w:rPr>
          <w:rFonts w:eastAsia="Calibri" w:cs="Times New Roman"/>
          <w:kern w:val="24"/>
          <w:szCs w:val="24"/>
        </w:rPr>
        <w:t>PQRS #438 – Statin use for Primary Prevention of CVD</w:t>
      </w:r>
    </w:p>
    <w:p w14:paraId="4B8A46E3" w14:textId="16B7EE56" w:rsidR="001C1FA1" w:rsidRPr="00AA552C" w:rsidRDefault="001C1FA1" w:rsidP="001C1FA1">
      <w:pPr>
        <w:pStyle w:val="ListParagraph"/>
        <w:numPr>
          <w:ilvl w:val="1"/>
          <w:numId w:val="11"/>
        </w:numPr>
        <w:spacing w:after="0" w:line="240" w:lineRule="auto"/>
        <w:rPr>
          <w:rFonts w:eastAsia="Calibri" w:cs="Times New Roman"/>
          <w:kern w:val="24"/>
          <w:szCs w:val="24"/>
        </w:rPr>
      </w:pPr>
      <w:r w:rsidRPr="00AA552C">
        <w:rPr>
          <w:rFonts w:eastAsia="Calibri" w:cs="Times New Roman"/>
          <w:kern w:val="24"/>
          <w:szCs w:val="24"/>
        </w:rPr>
        <w:t>30-Year/Lifetime Risk Assessment Tool</w:t>
      </w:r>
    </w:p>
    <w:p w14:paraId="3E73127A" w14:textId="313A71FD" w:rsidR="001C1FA1" w:rsidRPr="00AA552C" w:rsidRDefault="001C1FA1" w:rsidP="001C1FA1">
      <w:pPr>
        <w:pStyle w:val="BodyText"/>
        <w:numPr>
          <w:ilvl w:val="1"/>
          <w:numId w:val="11"/>
        </w:numPr>
        <w:spacing w:after="0" w:line="240" w:lineRule="auto"/>
        <w:rPr>
          <w:rFonts w:asciiTheme="minorHAnsi" w:hAnsiTheme="minorHAnsi"/>
          <w:color w:val="auto"/>
        </w:rPr>
      </w:pPr>
      <w:r w:rsidRPr="00AA552C">
        <w:rPr>
          <w:rFonts w:asciiTheme="minorHAnsi" w:hAnsiTheme="minorHAnsi"/>
          <w:color w:val="auto"/>
        </w:rPr>
        <w:t>MESA CAC Score</w:t>
      </w:r>
    </w:p>
    <w:p w14:paraId="2A33BD1F" w14:textId="0FD1B568" w:rsidR="001C1FA1" w:rsidRPr="00AA552C" w:rsidRDefault="001C1FA1" w:rsidP="001C1FA1">
      <w:pPr>
        <w:pStyle w:val="BodyText"/>
        <w:numPr>
          <w:ilvl w:val="1"/>
          <w:numId w:val="11"/>
        </w:numPr>
        <w:spacing w:after="0" w:line="240" w:lineRule="auto"/>
        <w:rPr>
          <w:rFonts w:asciiTheme="minorHAnsi" w:hAnsiTheme="minorHAnsi"/>
          <w:color w:val="auto"/>
        </w:rPr>
      </w:pPr>
      <w:r w:rsidRPr="00AA552C">
        <w:rPr>
          <w:rFonts w:asciiTheme="minorHAnsi" w:hAnsiTheme="minorHAnsi"/>
          <w:color w:val="auto"/>
        </w:rPr>
        <w:t>Consider adding a space/field for atherosclerotic markers as they may come in to play more in the future and/or some clinicians may find them very useful</w:t>
      </w:r>
    </w:p>
    <w:p w14:paraId="7B290190" w14:textId="43B0DE50" w:rsidR="001C1FA1" w:rsidRPr="00AA552C" w:rsidRDefault="001C1FA1" w:rsidP="001C1FA1">
      <w:pPr>
        <w:pStyle w:val="BodyText"/>
        <w:numPr>
          <w:ilvl w:val="1"/>
          <w:numId w:val="11"/>
        </w:numPr>
        <w:spacing w:after="0" w:line="240" w:lineRule="auto"/>
        <w:rPr>
          <w:rFonts w:asciiTheme="minorHAnsi" w:hAnsiTheme="minorHAnsi"/>
          <w:color w:val="auto"/>
        </w:rPr>
      </w:pPr>
      <w:r w:rsidRPr="00AA552C">
        <w:rPr>
          <w:rFonts w:asciiTheme="minorHAnsi" w:hAnsiTheme="minorHAnsi"/>
          <w:color w:val="auto"/>
        </w:rPr>
        <w:t>HEDIS measure r/t Statin use for Diabetics</w:t>
      </w:r>
    </w:p>
    <w:p w14:paraId="427A9242" w14:textId="6733456D" w:rsidR="001C1FA1" w:rsidRPr="00AA552C" w:rsidRDefault="001C1FA1" w:rsidP="001C1FA1">
      <w:pPr>
        <w:pStyle w:val="BodyText"/>
        <w:numPr>
          <w:ilvl w:val="1"/>
          <w:numId w:val="11"/>
        </w:numPr>
        <w:spacing w:after="0" w:line="240" w:lineRule="auto"/>
        <w:rPr>
          <w:rFonts w:asciiTheme="minorHAnsi" w:hAnsiTheme="minorHAnsi"/>
          <w:color w:val="auto"/>
        </w:rPr>
      </w:pPr>
      <w:r w:rsidRPr="00AA552C">
        <w:rPr>
          <w:rFonts w:asciiTheme="minorHAnsi" w:hAnsiTheme="minorHAnsi"/>
          <w:color w:val="auto"/>
        </w:rPr>
        <w:t xml:space="preserve">ABCS measures listed on Million Hearts website: </w:t>
      </w:r>
      <w:hyperlink r:id="rId13" w:history="1">
        <w:r w:rsidRPr="00AA552C">
          <w:rPr>
            <w:rStyle w:val="Hyperlink"/>
            <w:rFonts w:asciiTheme="minorHAnsi" w:hAnsiTheme="minorHAnsi"/>
            <w:color w:val="auto"/>
          </w:rPr>
          <w:t>here</w:t>
        </w:r>
      </w:hyperlink>
    </w:p>
    <w:p w14:paraId="275BA1F2" w14:textId="0E4B2FFC" w:rsidR="002A332C" w:rsidRPr="00AA552C" w:rsidRDefault="002A332C" w:rsidP="002A332C">
      <w:pPr>
        <w:spacing w:after="0" w:line="240" w:lineRule="auto"/>
        <w:rPr>
          <w:rFonts w:eastAsia="Calibri" w:cs="Times New Roman"/>
          <w:kern w:val="24"/>
          <w:szCs w:val="24"/>
          <w:u w:val="single"/>
        </w:rPr>
      </w:pPr>
      <w:r w:rsidRPr="00AA552C">
        <w:rPr>
          <w:rFonts w:eastAsia="Calibri" w:cs="Times New Roman"/>
          <w:kern w:val="24"/>
          <w:szCs w:val="24"/>
          <w:u w:val="single"/>
        </w:rPr>
        <w:t>CDS Artifact Caution List</w:t>
      </w:r>
    </w:p>
    <w:p w14:paraId="12F36FB2" w14:textId="2330EF5E" w:rsidR="002A332C" w:rsidRPr="00AA552C" w:rsidRDefault="002A332C" w:rsidP="002A332C">
      <w:pPr>
        <w:pStyle w:val="ListParagraph"/>
        <w:numPr>
          <w:ilvl w:val="1"/>
          <w:numId w:val="11"/>
        </w:numPr>
        <w:spacing w:after="0" w:line="240" w:lineRule="auto"/>
        <w:rPr>
          <w:rFonts w:eastAsia="Calibri" w:cs="Times New Roman"/>
          <w:kern w:val="24"/>
          <w:szCs w:val="24"/>
        </w:rPr>
      </w:pPr>
      <w:r w:rsidRPr="00AA552C">
        <w:rPr>
          <w:rFonts w:eastAsia="Calibri" w:cs="Times New Roman"/>
          <w:kern w:val="24"/>
          <w:szCs w:val="24"/>
        </w:rPr>
        <w:t>CMS 61 – LDL Screening (although initially considered as up to date based on the concept of risk assessment, the numerator of this measure outlines treatments based on LDL levels)</w:t>
      </w:r>
    </w:p>
    <w:p w14:paraId="31DAB594" w14:textId="5FAAA5BE" w:rsidR="00FC1B07" w:rsidRDefault="002A332C" w:rsidP="00114A91">
      <w:pPr>
        <w:pStyle w:val="ListParagraph"/>
        <w:numPr>
          <w:ilvl w:val="1"/>
          <w:numId w:val="11"/>
        </w:numPr>
        <w:spacing w:after="0" w:line="240" w:lineRule="auto"/>
        <w:rPr>
          <w:rFonts w:eastAsia="Calibri" w:cs="Times New Roman"/>
          <w:kern w:val="24"/>
          <w:szCs w:val="24"/>
        </w:rPr>
      </w:pPr>
      <w:r w:rsidRPr="00AA552C">
        <w:rPr>
          <w:rFonts w:eastAsia="Calibri" w:cs="Times New Roman"/>
          <w:kern w:val="24"/>
          <w:szCs w:val="24"/>
        </w:rPr>
        <w:t xml:space="preserve">CMS 64 – LDL Risk Stratified Cholesterol (since it centers on treating an LDL-C goal) </w:t>
      </w:r>
    </w:p>
    <w:p w14:paraId="30A54B0F" w14:textId="77777777" w:rsidR="00FC1B07" w:rsidRDefault="00FC1B07">
      <w:pPr>
        <w:rPr>
          <w:rFonts w:eastAsia="Calibri" w:cs="Times New Roman"/>
          <w:kern w:val="24"/>
          <w:szCs w:val="24"/>
        </w:rPr>
      </w:pPr>
      <w:r>
        <w:rPr>
          <w:rFonts w:eastAsia="Calibri" w:cs="Times New Roman"/>
          <w:kern w:val="24"/>
          <w:szCs w:val="24"/>
        </w:rPr>
        <w:br w:type="page"/>
      </w:r>
    </w:p>
    <w:p w14:paraId="64C2F3F3" w14:textId="77777777" w:rsidR="00FC1B07" w:rsidRDefault="00FC1B07" w:rsidP="00FC1B07">
      <w:pPr>
        <w:jc w:val="center"/>
        <w:rPr>
          <w:rFonts w:ascii="Times" w:hAnsi="Times"/>
          <w:b/>
          <w:sz w:val="28"/>
        </w:rPr>
      </w:pPr>
    </w:p>
    <w:p w14:paraId="0223348F" w14:textId="71B91762" w:rsidR="00FC1B07" w:rsidRDefault="00FC1B07" w:rsidP="00FC1B07">
      <w:pPr>
        <w:jc w:val="center"/>
        <w:rPr>
          <w:rFonts w:ascii="Times" w:hAnsi="Times"/>
          <w:b/>
          <w:sz w:val="28"/>
        </w:rPr>
      </w:pPr>
      <w:r>
        <w:rPr>
          <w:rFonts w:ascii="Times" w:hAnsi="Times"/>
          <w:b/>
          <w:sz w:val="28"/>
        </w:rPr>
        <w:t>NOTICE</w:t>
      </w:r>
    </w:p>
    <w:p w14:paraId="1BA4159D" w14:textId="77777777" w:rsidR="00FC1B07" w:rsidRDefault="00FC1B07" w:rsidP="00FC1B07">
      <w:pPr>
        <w:jc w:val="center"/>
        <w:rPr>
          <w:rFonts w:ascii="Times" w:hAnsi="Times"/>
          <w:b/>
          <w:sz w:val="24"/>
        </w:rPr>
      </w:pPr>
    </w:p>
    <w:p w14:paraId="00DDDC57" w14:textId="77777777" w:rsidR="00FC1B07" w:rsidRPr="00C700A6" w:rsidRDefault="00FC1B07" w:rsidP="00FC1B07">
      <w:pPr>
        <w:jc w:val="both"/>
        <w:rPr>
          <w:rFonts w:ascii="Times" w:hAnsi="Times"/>
          <w:sz w:val="24"/>
        </w:rPr>
      </w:pPr>
      <w:r w:rsidRPr="00C700A6">
        <w:rPr>
          <w:rFonts w:ascii="Times" w:hAnsi="Times"/>
          <w:sz w:val="24"/>
        </w:rPr>
        <w:t xml:space="preserve">This </w:t>
      </w:r>
      <w:r>
        <w:rPr>
          <w:rFonts w:ascii="Times" w:hAnsi="Times"/>
          <w:sz w:val="24"/>
        </w:rPr>
        <w:t>technical data</w:t>
      </w:r>
      <w:r w:rsidRPr="00C700A6">
        <w:rPr>
          <w:rFonts w:ascii="Times" w:hAnsi="Times"/>
          <w:sz w:val="24"/>
        </w:rPr>
        <w:t xml:space="preserve"> was produced for the U. S. G</w:t>
      </w:r>
      <w:r>
        <w:rPr>
          <w:rFonts w:ascii="Times" w:hAnsi="Times"/>
          <w:sz w:val="24"/>
        </w:rPr>
        <w:t>overnment under Contract Number HHSM-500-2012-00008I</w:t>
      </w:r>
      <w:r w:rsidRPr="00C700A6">
        <w:rPr>
          <w:rFonts w:ascii="Times" w:hAnsi="Times"/>
          <w:sz w:val="24"/>
        </w:rPr>
        <w:t>, and is subject to Federal Acquisition Regulation C</w:t>
      </w:r>
      <w:r>
        <w:rPr>
          <w:rFonts w:ascii="Times" w:hAnsi="Times"/>
          <w:sz w:val="24"/>
        </w:rPr>
        <w:t>lause 52.227-14, Rights in Data-</w:t>
      </w:r>
      <w:r w:rsidRPr="00C700A6">
        <w:rPr>
          <w:rFonts w:ascii="Times" w:hAnsi="Times"/>
          <w:sz w:val="24"/>
        </w:rPr>
        <w:t xml:space="preserve">General.  </w:t>
      </w:r>
    </w:p>
    <w:p w14:paraId="5A5AB7D7" w14:textId="77777777" w:rsidR="00FC1B07" w:rsidRPr="00C700A6" w:rsidRDefault="00FC1B07" w:rsidP="00FC1B07">
      <w:pPr>
        <w:jc w:val="both"/>
        <w:rPr>
          <w:rFonts w:ascii="Times" w:hAnsi="Times"/>
          <w:sz w:val="24"/>
        </w:rPr>
      </w:pPr>
      <w:r w:rsidRPr="00C700A6">
        <w:rPr>
          <w:rFonts w:ascii="Times" w:hAnsi="Times"/>
          <w:sz w:val="24"/>
        </w:rPr>
        <w:t xml:space="preserve">No other use other than that granted to the U. S. Government, or to those acting on behalf of the U. S. Government under that Clause is authorized without the express written permission of The MITRE Corporation. </w:t>
      </w:r>
    </w:p>
    <w:p w14:paraId="654BA2D3" w14:textId="77777777" w:rsidR="00FC1B07" w:rsidRDefault="00FC1B07" w:rsidP="00FC1B07">
      <w:pPr>
        <w:jc w:val="both"/>
        <w:rPr>
          <w:rFonts w:ascii="Times" w:hAnsi="Times"/>
          <w:sz w:val="24"/>
        </w:rPr>
      </w:pPr>
      <w:r w:rsidRPr="00C700A6">
        <w:rPr>
          <w:rFonts w:ascii="Times" w:hAnsi="Times"/>
          <w:sz w:val="24"/>
        </w:rPr>
        <w:t xml:space="preserve">For further information, please contact The MITRE Corporation, Contracts </w:t>
      </w:r>
      <w:r>
        <w:rPr>
          <w:rFonts w:ascii="Times" w:hAnsi="Times"/>
          <w:sz w:val="24"/>
        </w:rPr>
        <w:t xml:space="preserve">Management </w:t>
      </w:r>
      <w:r w:rsidRPr="00C700A6">
        <w:rPr>
          <w:rFonts w:ascii="Times" w:hAnsi="Times"/>
          <w:sz w:val="24"/>
        </w:rPr>
        <w:t>Office, 7515 Colshire Drive, McLean, VA</w:t>
      </w:r>
      <w:r>
        <w:rPr>
          <w:rFonts w:ascii="Times" w:hAnsi="Times"/>
          <w:sz w:val="24"/>
        </w:rPr>
        <w:t xml:space="preserve">  22102-7539</w:t>
      </w:r>
      <w:r w:rsidRPr="00C700A6">
        <w:rPr>
          <w:rFonts w:ascii="Times" w:hAnsi="Times"/>
          <w:sz w:val="24"/>
        </w:rPr>
        <w:t xml:space="preserve">, (703) </w:t>
      </w:r>
      <w:r>
        <w:rPr>
          <w:rFonts w:ascii="Times" w:hAnsi="Times"/>
          <w:sz w:val="24"/>
        </w:rPr>
        <w:t>9</w:t>
      </w:r>
      <w:r w:rsidRPr="00C700A6">
        <w:rPr>
          <w:rFonts w:ascii="Times" w:hAnsi="Times"/>
          <w:sz w:val="24"/>
        </w:rPr>
        <w:t xml:space="preserve">83-6000. </w:t>
      </w:r>
      <w:r>
        <w:rPr>
          <w:rFonts w:ascii="Times" w:hAnsi="Times"/>
          <w:sz w:val="24"/>
        </w:rPr>
        <w:t xml:space="preserve"> </w:t>
      </w:r>
    </w:p>
    <w:p w14:paraId="27A77E72" w14:textId="77777777" w:rsidR="00491843" w:rsidRPr="00AA552C" w:rsidRDefault="00491843" w:rsidP="00FC1B07">
      <w:pPr>
        <w:pStyle w:val="ListParagraph"/>
        <w:spacing w:after="0" w:line="240" w:lineRule="auto"/>
        <w:ind w:left="1440"/>
        <w:rPr>
          <w:rFonts w:ascii="Times New Roman" w:eastAsia="Times New Roman" w:hAnsi="Times New Roman" w:cs="Times New Roman"/>
          <w:sz w:val="24"/>
          <w:szCs w:val="24"/>
        </w:rPr>
      </w:pPr>
    </w:p>
    <w:p w14:paraId="4D15DE8A" w14:textId="5C44223C" w:rsidR="00CB0388" w:rsidRDefault="00CB0388" w:rsidP="00CB0388">
      <w:pPr>
        <w:spacing w:after="0" w:line="240" w:lineRule="auto"/>
        <w:rPr>
          <w:rFonts w:ascii="Times New Roman" w:eastAsia="Times New Roman" w:hAnsi="Times New Roman" w:cs="Times New Roman"/>
          <w:sz w:val="24"/>
          <w:szCs w:val="24"/>
        </w:rPr>
      </w:pPr>
    </w:p>
    <w:p w14:paraId="28D55D5B" w14:textId="77777777" w:rsidR="00CB0388" w:rsidRPr="00CB0388" w:rsidRDefault="00CB0388" w:rsidP="00CB0388">
      <w:pPr>
        <w:spacing w:after="0" w:line="240" w:lineRule="auto"/>
        <w:rPr>
          <w:rFonts w:ascii="Times New Roman" w:eastAsia="Times New Roman" w:hAnsi="Times New Roman" w:cs="Times New Roman"/>
          <w:sz w:val="24"/>
          <w:szCs w:val="24"/>
        </w:rPr>
        <w:sectPr w:rsidR="00CB0388" w:rsidRPr="00CB0388" w:rsidSect="000E6AE1">
          <w:footerReference w:type="default" r:id="rId14"/>
          <w:footerReference w:type="first" r:id="rId15"/>
          <w:pgSz w:w="12240" w:h="15840"/>
          <w:pgMar w:top="720" w:right="720" w:bottom="720" w:left="720" w:header="720" w:footer="576" w:gutter="0"/>
          <w:pgNumType w:start="1"/>
          <w:cols w:space="720"/>
          <w:docGrid w:linePitch="360"/>
        </w:sectPr>
      </w:pPr>
    </w:p>
    <w:p w14:paraId="50BF59CD" w14:textId="0C80D4F5" w:rsidR="00491843" w:rsidRPr="00491843" w:rsidRDefault="00491843" w:rsidP="00491843">
      <w:pPr>
        <w:spacing w:after="0" w:line="240" w:lineRule="auto"/>
        <w:rPr>
          <w:rFonts w:ascii="Calibri" w:eastAsia="Times New Roman" w:hAnsi="Calibri" w:cs="Times New Roman"/>
          <w:sz w:val="24"/>
          <w:szCs w:val="24"/>
        </w:rPr>
        <w:sectPr w:rsidR="00491843" w:rsidRPr="00491843" w:rsidSect="00491843">
          <w:type w:val="continuous"/>
          <w:pgSz w:w="12240" w:h="15840"/>
          <w:pgMar w:top="1800" w:right="1440" w:bottom="1440" w:left="1440" w:header="720" w:footer="576" w:gutter="0"/>
          <w:pgNumType w:start="1"/>
          <w:cols w:num="2" w:space="720"/>
          <w:titlePg/>
          <w:docGrid w:linePitch="360"/>
        </w:sectPr>
      </w:pPr>
      <w:bookmarkStart w:id="0" w:name="_GoBack"/>
      <w:bookmarkEnd w:id="0"/>
    </w:p>
    <w:p w14:paraId="02852582" w14:textId="3A8B2A7B" w:rsidR="00491843" w:rsidRDefault="00491843"/>
    <w:sectPr w:rsidR="00491843" w:rsidSect="00491843">
      <w:type w:val="continuous"/>
      <w:pgSz w:w="12240" w:h="15840"/>
      <w:pgMar w:top="180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150B3" w14:textId="77777777" w:rsidR="009E248F" w:rsidRDefault="009E248F" w:rsidP="00491843">
      <w:pPr>
        <w:spacing w:after="0" w:line="240" w:lineRule="auto"/>
      </w:pPr>
      <w:r>
        <w:separator/>
      </w:r>
    </w:p>
  </w:endnote>
  <w:endnote w:type="continuationSeparator" w:id="0">
    <w:p w14:paraId="1E9C6B86" w14:textId="77777777" w:rsidR="009E248F" w:rsidRDefault="009E248F" w:rsidP="0049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7E50" w14:textId="77777777" w:rsidR="00491843" w:rsidRDefault="00491843" w:rsidP="00491843">
    <w:pPr>
      <w:pStyle w:val="HeaderandFooter"/>
      <w:tabs>
        <w:tab w:val="clear" w:pos="10080"/>
        <w:tab w:val="right" w:pos="9360"/>
      </w:tabs>
    </w:pPr>
    <w:r>
      <w:rPr>
        <w:i/>
      </w:rPr>
      <w:t xml:space="preserve">CDS Connect </w:t>
    </w:r>
  </w:p>
  <w:p w14:paraId="04D1A320" w14:textId="7909013D" w:rsidR="00491843" w:rsidRDefault="00491843" w:rsidP="00491843">
    <w:pPr>
      <w:pStyle w:val="HeaderandFooter"/>
      <w:tabs>
        <w:tab w:val="clear" w:pos="10080"/>
        <w:tab w:val="right" w:pos="9360"/>
      </w:tabs>
      <w:rPr>
        <w:rStyle w:val="PageNumber"/>
      </w:rPr>
    </w:pPr>
    <w:r>
      <w:t xml:space="preserve">Cholesterol Work </w:t>
    </w:r>
    <w:r w:rsidRPr="002E67F7">
      <w:t>Group</w:t>
    </w:r>
    <w:r w:rsidRPr="002E67F7">
      <w:tab/>
    </w:r>
    <w:r w:rsidRPr="002E67F7">
      <w:rPr>
        <w:rStyle w:val="PageNumber"/>
      </w:rPr>
      <w:fldChar w:fldCharType="begin"/>
    </w:r>
    <w:r w:rsidRPr="002E67F7">
      <w:rPr>
        <w:rStyle w:val="PageNumber"/>
      </w:rPr>
      <w:instrText xml:space="preserve"> PAGE </w:instrText>
    </w:r>
    <w:r w:rsidRPr="002E67F7">
      <w:rPr>
        <w:rStyle w:val="PageNumber"/>
      </w:rPr>
      <w:fldChar w:fldCharType="separate"/>
    </w:r>
    <w:r w:rsidR="00FC1B07">
      <w:rPr>
        <w:rStyle w:val="PageNumber"/>
        <w:noProof/>
      </w:rPr>
      <w:t>5</w:t>
    </w:r>
    <w:r w:rsidRPr="002E67F7">
      <w:rPr>
        <w:rStyle w:val="PageNumber"/>
      </w:rPr>
      <w:fldChar w:fldCharType="end"/>
    </w:r>
  </w:p>
  <w:p w14:paraId="09D94698" w14:textId="7BDD3535" w:rsidR="00CB0388" w:rsidRPr="00CB0388" w:rsidRDefault="00CB0388" w:rsidP="00CB0388">
    <w:pPr>
      <w:spacing w:after="0" w:line="240" w:lineRule="auto"/>
      <w:jc w:val="center"/>
      <w:rPr>
        <w:rFonts w:eastAsia="Times New Roman"/>
        <w:b/>
        <w:bCs/>
      </w:rPr>
    </w:pPr>
    <w:r w:rsidRPr="00CB0388">
      <w:rPr>
        <w:rFonts w:eastAsia="Times New Roman"/>
        <w:b/>
        <w:bCs/>
      </w:rPr>
      <w:t xml:space="preserve">Approved for Public Release. Distribution Unlimited. Case Number </w:t>
    </w:r>
    <w:r w:rsidRPr="00CB0388">
      <w:rPr>
        <w:b/>
        <w:color w:val="000000"/>
      </w:rPr>
      <w:t>17-04</w:t>
    </w:r>
    <w:r w:rsidR="005204E9">
      <w:rPr>
        <w:b/>
        <w:color w:val="000000"/>
      </w:rPr>
      <w:t>38</w:t>
    </w:r>
    <w:r w:rsidRPr="00CB0388">
      <w:rPr>
        <w:rFonts w:eastAsia="Times New Roman"/>
        <w:b/>
        <w:bCs/>
      </w:rPr>
      <w:t xml:space="preserve">. </w:t>
    </w:r>
  </w:p>
  <w:p w14:paraId="6F75E758" w14:textId="77777777" w:rsidR="00CB0388" w:rsidRPr="00CB0388" w:rsidRDefault="00CB0388" w:rsidP="00CB0388">
    <w:pPr>
      <w:spacing w:after="0" w:line="240" w:lineRule="auto"/>
      <w:jc w:val="center"/>
      <w:rPr>
        <w:b/>
        <w:u w:val="single"/>
      </w:rPr>
    </w:pPr>
    <w:r w:rsidRPr="00CB0388">
      <w:rPr>
        <w:b/>
        <w:u w:val="single"/>
      </w:rPr>
      <w:sym w:font="Symbol" w:char="F0E3"/>
    </w:r>
    <w:r w:rsidRPr="00CB0388">
      <w:rPr>
        <w:b/>
        <w:u w:val="single"/>
      </w:rPr>
      <w:t xml:space="preserve"> 2016 The MITRE Corporation.</w:t>
    </w:r>
  </w:p>
  <w:p w14:paraId="61691CD5" w14:textId="77777777" w:rsidR="00CB0388" w:rsidRPr="00771AA3" w:rsidRDefault="00CB0388" w:rsidP="00491843">
    <w:pPr>
      <w:pStyle w:val="HeaderandFooter"/>
      <w:tabs>
        <w:tab w:val="clear" w:pos="100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C9E2C" w14:textId="77777777" w:rsidR="00491843" w:rsidRPr="00493B2F" w:rsidRDefault="00491843" w:rsidP="00491843">
    <w:pP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E6A15" w14:textId="77777777" w:rsidR="009E248F" w:rsidRDefault="009E248F" w:rsidP="00491843">
      <w:pPr>
        <w:spacing w:after="0" w:line="240" w:lineRule="auto"/>
      </w:pPr>
      <w:r>
        <w:separator/>
      </w:r>
    </w:p>
  </w:footnote>
  <w:footnote w:type="continuationSeparator" w:id="0">
    <w:p w14:paraId="4808F5E8" w14:textId="77777777" w:rsidR="009E248F" w:rsidRDefault="009E248F" w:rsidP="00491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1FDE"/>
    <w:multiLevelType w:val="hybridMultilevel"/>
    <w:tmpl w:val="94A89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4E2E"/>
    <w:multiLevelType w:val="hybridMultilevel"/>
    <w:tmpl w:val="FF3E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30820"/>
    <w:multiLevelType w:val="hybridMultilevel"/>
    <w:tmpl w:val="A52E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25640"/>
    <w:multiLevelType w:val="hybridMultilevel"/>
    <w:tmpl w:val="4B161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33817"/>
    <w:multiLevelType w:val="hybridMultilevel"/>
    <w:tmpl w:val="07D61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4276B"/>
    <w:multiLevelType w:val="hybridMultilevel"/>
    <w:tmpl w:val="ED86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D56D9"/>
    <w:multiLevelType w:val="hybridMultilevel"/>
    <w:tmpl w:val="717042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5D753D"/>
    <w:multiLevelType w:val="hybridMultilevel"/>
    <w:tmpl w:val="0C44F2D6"/>
    <w:lvl w:ilvl="0" w:tplc="04090001">
      <w:start w:val="1"/>
      <w:numFmt w:val="bullet"/>
      <w:lvlText w:val=""/>
      <w:lvlJc w:val="left"/>
      <w:pPr>
        <w:ind w:left="720" w:hanging="360"/>
      </w:pPr>
      <w:rPr>
        <w:rFonts w:ascii="Symbol" w:hAnsi="Symbol" w:hint="default"/>
        <w:sz w:val="20"/>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9798D"/>
    <w:multiLevelType w:val="hybridMultilevel"/>
    <w:tmpl w:val="C180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B5C2B"/>
    <w:multiLevelType w:val="hybridMultilevel"/>
    <w:tmpl w:val="293E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042BA"/>
    <w:multiLevelType w:val="hybridMultilevel"/>
    <w:tmpl w:val="4BFA1312"/>
    <w:lvl w:ilvl="0" w:tplc="B91AB0EA">
      <w:start w:val="1"/>
      <w:numFmt w:val="bullet"/>
      <w:lvlText w:val=""/>
      <w:lvlJc w:val="left"/>
      <w:pPr>
        <w:ind w:left="720" w:hanging="360"/>
      </w:pPr>
      <w:rPr>
        <w:rFonts w:ascii="Wingdings" w:hAnsi="Wingdings" w:hint="default"/>
        <w:sz w:val="20"/>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649A1"/>
    <w:multiLevelType w:val="hybridMultilevel"/>
    <w:tmpl w:val="D72A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0"/>
  </w:num>
  <w:num w:numId="5">
    <w:abstractNumId w:val="1"/>
  </w:num>
  <w:num w:numId="6">
    <w:abstractNumId w:val="10"/>
  </w:num>
  <w:num w:numId="7">
    <w:abstractNumId w:val="6"/>
  </w:num>
  <w:num w:numId="8">
    <w:abstractNumId w:val="9"/>
  </w:num>
  <w:num w:numId="9">
    <w:abstractNumId w:val="2"/>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43"/>
    <w:rsid w:val="000A7E95"/>
    <w:rsid w:val="000E6AE1"/>
    <w:rsid w:val="000F553A"/>
    <w:rsid w:val="00121D9F"/>
    <w:rsid w:val="001725CC"/>
    <w:rsid w:val="001A5624"/>
    <w:rsid w:val="001A7D55"/>
    <w:rsid w:val="001C1FA1"/>
    <w:rsid w:val="001F0067"/>
    <w:rsid w:val="002007C7"/>
    <w:rsid w:val="002144AF"/>
    <w:rsid w:val="00253478"/>
    <w:rsid w:val="00275D5B"/>
    <w:rsid w:val="002A332C"/>
    <w:rsid w:val="002E6089"/>
    <w:rsid w:val="002F4B77"/>
    <w:rsid w:val="003075AA"/>
    <w:rsid w:val="0031089C"/>
    <w:rsid w:val="00310A22"/>
    <w:rsid w:val="00320CF4"/>
    <w:rsid w:val="00395739"/>
    <w:rsid w:val="003F1031"/>
    <w:rsid w:val="00430254"/>
    <w:rsid w:val="004861B7"/>
    <w:rsid w:val="00491843"/>
    <w:rsid w:val="0051056B"/>
    <w:rsid w:val="005204E9"/>
    <w:rsid w:val="00557F1B"/>
    <w:rsid w:val="00597647"/>
    <w:rsid w:val="005A517F"/>
    <w:rsid w:val="005D144F"/>
    <w:rsid w:val="006A7AED"/>
    <w:rsid w:val="006B79CE"/>
    <w:rsid w:val="006D522C"/>
    <w:rsid w:val="00702B96"/>
    <w:rsid w:val="00725BEE"/>
    <w:rsid w:val="00776A3E"/>
    <w:rsid w:val="00781269"/>
    <w:rsid w:val="0079386A"/>
    <w:rsid w:val="00797AF6"/>
    <w:rsid w:val="007B55A3"/>
    <w:rsid w:val="007E0B01"/>
    <w:rsid w:val="0081694C"/>
    <w:rsid w:val="00817843"/>
    <w:rsid w:val="00821E3B"/>
    <w:rsid w:val="00830450"/>
    <w:rsid w:val="00834C81"/>
    <w:rsid w:val="00843CE5"/>
    <w:rsid w:val="008704C6"/>
    <w:rsid w:val="0087264B"/>
    <w:rsid w:val="008813ED"/>
    <w:rsid w:val="00883446"/>
    <w:rsid w:val="008D6793"/>
    <w:rsid w:val="00902EFE"/>
    <w:rsid w:val="00907367"/>
    <w:rsid w:val="00913AE0"/>
    <w:rsid w:val="00941A9A"/>
    <w:rsid w:val="00943FA2"/>
    <w:rsid w:val="009A00DD"/>
    <w:rsid w:val="009E248F"/>
    <w:rsid w:val="009E3831"/>
    <w:rsid w:val="00A444C3"/>
    <w:rsid w:val="00A82B06"/>
    <w:rsid w:val="00A950E0"/>
    <w:rsid w:val="00AA1039"/>
    <w:rsid w:val="00AA1922"/>
    <w:rsid w:val="00AA552C"/>
    <w:rsid w:val="00AE3503"/>
    <w:rsid w:val="00AE3F5C"/>
    <w:rsid w:val="00B22B95"/>
    <w:rsid w:val="00B923BA"/>
    <w:rsid w:val="00BC536F"/>
    <w:rsid w:val="00C019CB"/>
    <w:rsid w:val="00C044B2"/>
    <w:rsid w:val="00C46760"/>
    <w:rsid w:val="00CA41BA"/>
    <w:rsid w:val="00CA5FB1"/>
    <w:rsid w:val="00CB0388"/>
    <w:rsid w:val="00CE2ED7"/>
    <w:rsid w:val="00D60F1A"/>
    <w:rsid w:val="00D72BEB"/>
    <w:rsid w:val="00DA20DB"/>
    <w:rsid w:val="00DB5BD6"/>
    <w:rsid w:val="00DF6B92"/>
    <w:rsid w:val="00E76997"/>
    <w:rsid w:val="00E9582F"/>
    <w:rsid w:val="00EB3280"/>
    <w:rsid w:val="00EC3D92"/>
    <w:rsid w:val="00EF4B26"/>
    <w:rsid w:val="00F00BAD"/>
    <w:rsid w:val="00F6534E"/>
    <w:rsid w:val="00FC1B07"/>
    <w:rsid w:val="00FE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0D7B2"/>
  <w15:chartTrackingRefBased/>
  <w15:docId w15:val="{20CC82A9-987D-4E25-98A2-E49257EC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1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91843"/>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491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843"/>
  </w:style>
  <w:style w:type="paragraph" w:styleId="Header">
    <w:name w:val="header"/>
    <w:basedOn w:val="Normal"/>
    <w:link w:val="HeaderChar"/>
    <w:uiPriority w:val="99"/>
    <w:unhideWhenUsed/>
    <w:rsid w:val="00491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843"/>
  </w:style>
  <w:style w:type="paragraph" w:styleId="CommentText">
    <w:name w:val="annotation text"/>
    <w:basedOn w:val="Normal"/>
    <w:link w:val="CommentTextChar"/>
    <w:uiPriority w:val="99"/>
    <w:semiHidden/>
    <w:unhideWhenUsed/>
    <w:rsid w:val="00491843"/>
    <w:pPr>
      <w:spacing w:line="240" w:lineRule="auto"/>
    </w:pPr>
    <w:rPr>
      <w:sz w:val="20"/>
      <w:szCs w:val="20"/>
    </w:rPr>
  </w:style>
  <w:style w:type="character" w:customStyle="1" w:styleId="CommentTextChar">
    <w:name w:val="Comment Text Char"/>
    <w:basedOn w:val="DefaultParagraphFont"/>
    <w:link w:val="CommentText"/>
    <w:uiPriority w:val="99"/>
    <w:semiHidden/>
    <w:rsid w:val="00491843"/>
    <w:rPr>
      <w:sz w:val="20"/>
      <w:szCs w:val="20"/>
    </w:rPr>
  </w:style>
  <w:style w:type="character" w:styleId="PageNumber">
    <w:name w:val="page number"/>
    <w:semiHidden/>
    <w:rsid w:val="00491843"/>
    <w:rPr>
      <w:rFonts w:cs="Times New Roman"/>
    </w:rPr>
  </w:style>
  <w:style w:type="character" w:styleId="CommentReference">
    <w:name w:val="annotation reference"/>
    <w:semiHidden/>
    <w:rsid w:val="00491843"/>
    <w:rPr>
      <w:rFonts w:cs="Times New Roman"/>
      <w:sz w:val="16"/>
      <w:szCs w:val="16"/>
    </w:rPr>
  </w:style>
  <w:style w:type="paragraph" w:customStyle="1" w:styleId="HeaderandFooter">
    <w:name w:val="Header and Footer"/>
    <w:link w:val="HeaderandFooterChar"/>
    <w:qFormat/>
    <w:rsid w:val="00491843"/>
    <w:pPr>
      <w:pBdr>
        <w:top w:val="single" w:sz="4" w:space="2" w:color="BFBFBF"/>
      </w:pBdr>
      <w:tabs>
        <w:tab w:val="right" w:pos="10080"/>
      </w:tabs>
      <w:spacing w:after="0" w:line="240" w:lineRule="auto"/>
    </w:pPr>
    <w:rPr>
      <w:rFonts w:ascii="Arial" w:eastAsia="Times New Roman" w:hAnsi="Arial" w:cs="Arial"/>
      <w:color w:val="595959"/>
      <w:sz w:val="20"/>
      <w:szCs w:val="20"/>
    </w:rPr>
  </w:style>
  <w:style w:type="character" w:customStyle="1" w:styleId="HeaderandFooterChar">
    <w:name w:val="Header and Footer Char"/>
    <w:link w:val="HeaderandFooter"/>
    <w:rsid w:val="00491843"/>
    <w:rPr>
      <w:rFonts w:ascii="Arial" w:eastAsia="Times New Roman" w:hAnsi="Arial" w:cs="Arial"/>
      <w:color w:val="595959"/>
      <w:sz w:val="20"/>
      <w:szCs w:val="20"/>
    </w:rPr>
  </w:style>
  <w:style w:type="table" w:customStyle="1" w:styleId="TableGridLight1">
    <w:name w:val="Table Grid Light1"/>
    <w:basedOn w:val="TableNormal"/>
    <w:next w:val="TableGridLight"/>
    <w:uiPriority w:val="40"/>
    <w:rsid w:val="00491843"/>
    <w:pPr>
      <w:spacing w:after="0" w:line="240" w:lineRule="auto"/>
    </w:pPr>
    <w:rPr>
      <w:rFonts w:ascii="Cambria" w:eastAsia="Cambria" w:hAnsi="Cambria"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1">
    <w:name w:val="Grid Table 1 Light - Accent 31"/>
    <w:basedOn w:val="TableNormal"/>
    <w:next w:val="GridTable1Light-Accent3"/>
    <w:uiPriority w:val="46"/>
    <w:rsid w:val="00491843"/>
    <w:pPr>
      <w:spacing w:after="0" w:line="240" w:lineRule="auto"/>
    </w:pPr>
    <w:rPr>
      <w:rFonts w:ascii="Cambria" w:eastAsia="Cambria" w:hAnsi="Cambria" w:cs="Times New Roman"/>
      <w:sz w:val="20"/>
      <w:szCs w:val="20"/>
    </w:rPr>
    <w:tblPr>
      <w:tblStyleRowBandSize w:val="1"/>
      <w:tblStyleColBandSize w:val="1"/>
      <w:tblBorders>
        <w:top w:val="single" w:sz="4" w:space="0" w:color="B4B6B6"/>
        <w:left w:val="single" w:sz="4" w:space="0" w:color="B4B6B6"/>
        <w:bottom w:val="single" w:sz="4" w:space="0" w:color="B4B6B6"/>
        <w:right w:val="single" w:sz="4" w:space="0" w:color="B4B6B6"/>
        <w:insideH w:val="single" w:sz="4" w:space="0" w:color="B4B6B6"/>
        <w:insideV w:val="single" w:sz="4" w:space="0" w:color="B4B6B6"/>
      </w:tblBorders>
    </w:tblPr>
    <w:tblStylePr w:type="firstRow">
      <w:rPr>
        <w:b/>
        <w:bCs/>
      </w:rPr>
      <w:tblPr/>
      <w:tcPr>
        <w:tcBorders>
          <w:bottom w:val="single" w:sz="12" w:space="0" w:color="8F9292"/>
        </w:tcBorders>
      </w:tcPr>
    </w:tblStylePr>
    <w:tblStylePr w:type="lastRow">
      <w:rPr>
        <w:b/>
        <w:bCs/>
      </w:rPr>
      <w:tblPr/>
      <w:tcPr>
        <w:tcBorders>
          <w:top w:val="double" w:sz="2" w:space="0" w:color="8F9292"/>
        </w:tcBorders>
      </w:tcPr>
    </w:tblStylePr>
    <w:tblStylePr w:type="firstCol">
      <w:rPr>
        <w:b/>
        <w:bCs/>
      </w:rPr>
    </w:tblStylePr>
    <w:tblStylePr w:type="lastCol">
      <w:rPr>
        <w:b/>
        <w:bCs/>
      </w:rPr>
    </w:tblStylePr>
  </w:style>
  <w:style w:type="table" w:styleId="TableGridLight">
    <w:name w:val="Grid Table Light"/>
    <w:basedOn w:val="TableNormal"/>
    <w:uiPriority w:val="40"/>
    <w:rsid w:val="004918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49184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E-mailSignature">
    <w:name w:val="E-mail Signature"/>
    <w:basedOn w:val="Normal"/>
    <w:link w:val="E-mailSignatureChar"/>
    <w:semiHidden/>
    <w:rsid w:val="00491843"/>
    <w:pPr>
      <w:spacing w:after="0" w:line="240" w:lineRule="auto"/>
    </w:pPr>
    <w:rPr>
      <w:rFonts w:ascii="Calibri" w:eastAsia="Times New Roman" w:hAnsi="Calibri" w:cs="Times New Roman"/>
      <w:sz w:val="24"/>
      <w:szCs w:val="24"/>
    </w:rPr>
  </w:style>
  <w:style w:type="character" w:customStyle="1" w:styleId="E-mailSignatureChar">
    <w:name w:val="E-mail Signature Char"/>
    <w:basedOn w:val="DefaultParagraphFont"/>
    <w:link w:val="E-mailSignature"/>
    <w:semiHidden/>
    <w:rsid w:val="00491843"/>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491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843"/>
    <w:rPr>
      <w:rFonts w:ascii="Segoe UI" w:hAnsi="Segoe UI" w:cs="Segoe UI"/>
      <w:sz w:val="18"/>
      <w:szCs w:val="18"/>
    </w:rPr>
  </w:style>
  <w:style w:type="table" w:customStyle="1" w:styleId="Table">
    <w:name w:val="Table"/>
    <w:basedOn w:val="TableNormal"/>
    <w:uiPriority w:val="99"/>
    <w:rsid w:val="004861B7"/>
    <w:pPr>
      <w:spacing w:after="0" w:line="240" w:lineRule="auto"/>
    </w:pPr>
    <w:rPr>
      <w:rFonts w:ascii="Arial Narrow" w:eastAsia="Cambria" w:hAnsi="Arial Narrow" w:cs="Times New Roman"/>
      <w:szCs w:val="20"/>
    </w:rPr>
    <w:tblPr>
      <w:tblBorders>
        <w:top w:val="single" w:sz="4" w:space="0" w:color="808080"/>
        <w:left w:val="single" w:sz="4" w:space="0" w:color="808080"/>
        <w:bottom w:val="single" w:sz="4" w:space="0" w:color="808080"/>
        <w:right w:val="single" w:sz="4" w:space="0" w:color="808080"/>
      </w:tblBorders>
    </w:tblPr>
  </w:style>
  <w:style w:type="paragraph" w:styleId="ListParagraph">
    <w:name w:val="List Paragraph"/>
    <w:basedOn w:val="Normal"/>
    <w:uiPriority w:val="34"/>
    <w:qFormat/>
    <w:rsid w:val="00121D9F"/>
    <w:pPr>
      <w:ind w:left="720"/>
      <w:contextualSpacing/>
    </w:pPr>
  </w:style>
  <w:style w:type="paragraph" w:styleId="CommentSubject">
    <w:name w:val="annotation subject"/>
    <w:basedOn w:val="CommentText"/>
    <w:next w:val="CommentText"/>
    <w:link w:val="CommentSubjectChar"/>
    <w:uiPriority w:val="99"/>
    <w:semiHidden/>
    <w:unhideWhenUsed/>
    <w:rsid w:val="00BC536F"/>
    <w:rPr>
      <w:b/>
      <w:bCs/>
    </w:rPr>
  </w:style>
  <w:style w:type="character" w:customStyle="1" w:styleId="CommentSubjectChar">
    <w:name w:val="Comment Subject Char"/>
    <w:basedOn w:val="CommentTextChar"/>
    <w:link w:val="CommentSubject"/>
    <w:uiPriority w:val="99"/>
    <w:semiHidden/>
    <w:rsid w:val="00BC536F"/>
    <w:rPr>
      <w:b/>
      <w:bCs/>
      <w:sz w:val="20"/>
      <w:szCs w:val="20"/>
    </w:rPr>
  </w:style>
  <w:style w:type="paragraph" w:styleId="FootnoteText">
    <w:name w:val="footnote text"/>
    <w:basedOn w:val="Normal"/>
    <w:link w:val="FootnoteTextChar"/>
    <w:uiPriority w:val="99"/>
    <w:semiHidden/>
    <w:unhideWhenUsed/>
    <w:rsid w:val="002E60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089"/>
    <w:rPr>
      <w:sz w:val="20"/>
      <w:szCs w:val="20"/>
    </w:rPr>
  </w:style>
  <w:style w:type="character" w:styleId="FootnoteReference">
    <w:name w:val="footnote reference"/>
    <w:basedOn w:val="DefaultParagraphFont"/>
    <w:uiPriority w:val="99"/>
    <w:semiHidden/>
    <w:unhideWhenUsed/>
    <w:rsid w:val="002E6089"/>
    <w:rPr>
      <w:vertAlign w:val="superscript"/>
    </w:rPr>
  </w:style>
  <w:style w:type="character" w:styleId="Hyperlink">
    <w:name w:val="Hyperlink"/>
    <w:basedOn w:val="DefaultParagraphFont"/>
    <w:uiPriority w:val="99"/>
    <w:unhideWhenUsed/>
    <w:rsid w:val="002E6089"/>
    <w:rPr>
      <w:color w:val="0563C1" w:themeColor="hyperlink"/>
      <w:u w:val="single"/>
    </w:rPr>
  </w:style>
  <w:style w:type="paragraph" w:styleId="BodyText">
    <w:name w:val="Body Text"/>
    <w:link w:val="BodyTextChar"/>
    <w:qFormat/>
    <w:rsid w:val="00907367"/>
    <w:pPr>
      <w:spacing w:after="120" w:line="300" w:lineRule="exact"/>
    </w:pPr>
    <w:rPr>
      <w:rFonts w:ascii="Times New Roman" w:eastAsia="Calibri" w:hAnsi="Times New Roman" w:cs="Times New Roman"/>
      <w:color w:val="000000" w:themeColor="text1"/>
      <w:kern w:val="24"/>
      <w:szCs w:val="24"/>
    </w:rPr>
  </w:style>
  <w:style w:type="character" w:customStyle="1" w:styleId="BodyTextChar">
    <w:name w:val="Body Text Char"/>
    <w:basedOn w:val="DefaultParagraphFont"/>
    <w:link w:val="BodyText"/>
    <w:rsid w:val="00907367"/>
    <w:rPr>
      <w:rFonts w:ascii="Times New Roman" w:eastAsia="Calibri" w:hAnsi="Times New Roman" w:cs="Times New Roman"/>
      <w:color w:val="000000" w:themeColor="text1"/>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llionhearts.hhs.gov/data-reports/cqm/measur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scape.com/viewarticle/7210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3.xml><?xml version="1.0" encoding="utf-8"?>
<ct:contentTypeSchema xmlns:ct="http://schemas.microsoft.com/office/2006/metadata/contentType" xmlns:ma="http://schemas.microsoft.com/office/2006/metadata/properties/metaAttributes" ct:_="" ma:_="" ma:contentTypeName="MITRE Work" ma:contentTypeID="0x010100823A99C636F7423283FB0D200866C6130056382C4F1CC2BE4B9A43BF7DCBA158EA" ma:contentTypeVersion="1" ma:contentTypeDescription="Materials and documents that contain MITRE authored content and other content directly attributable to MITRE and its work" ma:contentTypeScope="" ma:versionID="524278dce64e47fdcd751af216a6398f">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D7EB8A6-26DC-48CF-8918-FDB735446059}">
  <ds:schemaRefs>
    <ds:schemaRef ds:uri="http://schemas.microsoft.com/sharepoint/v3/contenttype/forms"/>
  </ds:schemaRefs>
</ds:datastoreItem>
</file>

<file path=customXml/itemProps2.xml><?xml version="1.0" encoding="utf-8"?>
<ds:datastoreItem xmlns:ds="http://schemas.openxmlformats.org/officeDocument/2006/customXml" ds:itemID="{C75C9375-46BE-41D6-A862-51351AD2C955}">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613261DE-AFA4-4407-A6DC-D95446A17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BC7D8-255A-4625-A38E-287B032F7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Sharon M</dc:creator>
  <cp:keywords/>
  <dc:description/>
  <cp:lastModifiedBy>Mbawuike, Susan U</cp:lastModifiedBy>
  <cp:revision>7</cp:revision>
  <dcterms:created xsi:type="dcterms:W3CDTF">2017-06-22T17:57:00Z</dcterms:created>
  <dcterms:modified xsi:type="dcterms:W3CDTF">2017-06-22T18:24:00Z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0x010100823A99C636F7423283FB0D200866C6130056382C4F1CC2BE4B9A43BF7DCBA158EA</vt:lpwstr>
  </property>
</Properties>
</file>