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01A" w:rsidRDefault="003F301A" w:rsidP="003F301A">
      <w:r>
        <w:rPr>
          <w:noProof/>
        </w:rPr>
        <w:drawing>
          <wp:anchor distT="0" distB="0" distL="114300" distR="114300" simplePos="0" relativeHeight="251659264" behindDoc="0" locked="0" layoutInCell="1" allowOverlap="1" wp14:anchorId="2A7E0ED3" wp14:editId="410B7970">
            <wp:simplePos x="0" y="0"/>
            <wp:positionH relativeFrom="column">
              <wp:posOffset>1631950</wp:posOffset>
            </wp:positionH>
            <wp:positionV relativeFrom="paragraph">
              <wp:posOffset>0</wp:posOffset>
            </wp:positionV>
            <wp:extent cx="2743200" cy="5302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530225"/>
                    </a:xfrm>
                    <a:prstGeom prst="rect">
                      <a:avLst/>
                    </a:prstGeom>
                    <a:noFill/>
                  </pic:spPr>
                </pic:pic>
              </a:graphicData>
            </a:graphic>
          </wp:anchor>
        </w:drawing>
      </w:r>
    </w:p>
    <w:p w:rsidR="003F301A" w:rsidRDefault="003F301A" w:rsidP="003F301A"/>
    <w:p w:rsidR="003F301A" w:rsidRPr="00596850" w:rsidRDefault="003F301A" w:rsidP="003F301A">
      <w:pPr>
        <w:spacing w:line="240" w:lineRule="auto"/>
        <w:contextualSpacing/>
        <w:jc w:val="center"/>
        <w:rPr>
          <w:b/>
          <w:sz w:val="28"/>
        </w:rPr>
      </w:pPr>
      <w:r>
        <w:rPr>
          <w:b/>
          <w:sz w:val="28"/>
        </w:rPr>
        <w:t>Cholesterol Management</w:t>
      </w:r>
      <w:r w:rsidRPr="00596850">
        <w:rPr>
          <w:b/>
          <w:sz w:val="28"/>
        </w:rPr>
        <w:t xml:space="preserve"> Work Group</w:t>
      </w:r>
    </w:p>
    <w:p w:rsidR="003F301A" w:rsidRDefault="003F301A" w:rsidP="003F301A">
      <w:pPr>
        <w:spacing w:line="240" w:lineRule="auto"/>
        <w:contextualSpacing/>
        <w:jc w:val="center"/>
        <w:rPr>
          <w:b/>
          <w:sz w:val="28"/>
        </w:rPr>
      </w:pPr>
      <w:r w:rsidRPr="00596850">
        <w:rPr>
          <w:b/>
          <w:sz w:val="28"/>
        </w:rPr>
        <w:t>Meeting Summary</w:t>
      </w:r>
    </w:p>
    <w:tbl>
      <w:tblPr>
        <w:tblStyle w:val="TableGridLight"/>
        <w:tblpPr w:leftFromText="180" w:rightFromText="180" w:vertAnchor="text" w:horzAnchor="margin" w:tblpXSpec="center" w:tblpY="169"/>
        <w:tblW w:w="0" w:type="auto"/>
        <w:tblLook w:val="04A0" w:firstRow="1" w:lastRow="0" w:firstColumn="1" w:lastColumn="0" w:noHBand="0" w:noVBand="1"/>
      </w:tblPr>
      <w:tblGrid>
        <w:gridCol w:w="4635"/>
        <w:gridCol w:w="4635"/>
      </w:tblGrid>
      <w:tr w:rsidR="003F301A" w:rsidRPr="00C42172" w:rsidTr="001F6225">
        <w:trPr>
          <w:trHeight w:val="422"/>
        </w:trPr>
        <w:tc>
          <w:tcPr>
            <w:tcW w:w="4635" w:type="dxa"/>
          </w:tcPr>
          <w:p w:rsidR="003F301A" w:rsidRPr="009C549E" w:rsidRDefault="003F301A" w:rsidP="001F6225">
            <w:pPr>
              <w:spacing w:before="40" w:after="40"/>
              <w:rPr>
                <w:rFonts w:asciiTheme="minorHAnsi" w:hAnsiTheme="minorHAnsi" w:cs="Arial"/>
                <w:b/>
                <w:sz w:val="28"/>
                <w:szCs w:val="28"/>
              </w:rPr>
            </w:pPr>
            <w:r w:rsidRPr="009C549E">
              <w:rPr>
                <w:rFonts w:asciiTheme="minorHAnsi" w:hAnsiTheme="minorHAnsi" w:cs="Arial"/>
                <w:b/>
                <w:sz w:val="28"/>
                <w:szCs w:val="28"/>
              </w:rPr>
              <w:t>Date</w:t>
            </w:r>
          </w:p>
        </w:tc>
        <w:tc>
          <w:tcPr>
            <w:tcW w:w="4635" w:type="dxa"/>
          </w:tcPr>
          <w:p w:rsidR="003F301A" w:rsidRPr="009C549E" w:rsidRDefault="003F301A" w:rsidP="001F6225">
            <w:pPr>
              <w:spacing w:before="40" w:after="40"/>
              <w:rPr>
                <w:rFonts w:asciiTheme="minorHAnsi" w:hAnsiTheme="minorHAnsi" w:cs="Arial"/>
                <w:noProof/>
                <w:sz w:val="28"/>
                <w:szCs w:val="28"/>
              </w:rPr>
            </w:pPr>
            <w:r>
              <w:rPr>
                <w:rFonts w:asciiTheme="minorHAnsi" w:hAnsiTheme="minorHAnsi" w:cs="Arial"/>
                <w:noProof/>
                <w:sz w:val="28"/>
                <w:szCs w:val="28"/>
              </w:rPr>
              <w:t>01</w:t>
            </w:r>
            <w:r w:rsidRPr="009C549E">
              <w:rPr>
                <w:rFonts w:asciiTheme="minorHAnsi" w:hAnsiTheme="minorHAnsi" w:cs="Arial"/>
                <w:noProof/>
                <w:sz w:val="28"/>
                <w:szCs w:val="28"/>
              </w:rPr>
              <w:t>/</w:t>
            </w:r>
            <w:r>
              <w:rPr>
                <w:rFonts w:asciiTheme="minorHAnsi" w:hAnsiTheme="minorHAnsi" w:cs="Arial"/>
                <w:noProof/>
                <w:sz w:val="28"/>
                <w:szCs w:val="28"/>
              </w:rPr>
              <w:t>11</w:t>
            </w:r>
            <w:r w:rsidRPr="009C549E">
              <w:rPr>
                <w:rFonts w:asciiTheme="minorHAnsi" w:hAnsiTheme="minorHAnsi" w:cs="Arial"/>
                <w:noProof/>
                <w:sz w:val="28"/>
                <w:szCs w:val="28"/>
              </w:rPr>
              <w:t>/2017</w:t>
            </w:r>
          </w:p>
        </w:tc>
      </w:tr>
      <w:tr w:rsidR="003F301A" w:rsidRPr="00C42172" w:rsidTr="001F6225">
        <w:trPr>
          <w:trHeight w:val="422"/>
        </w:trPr>
        <w:tc>
          <w:tcPr>
            <w:tcW w:w="4635" w:type="dxa"/>
          </w:tcPr>
          <w:p w:rsidR="003F301A" w:rsidRPr="009C549E" w:rsidRDefault="003F301A" w:rsidP="001F6225">
            <w:pPr>
              <w:spacing w:before="40" w:after="40"/>
              <w:rPr>
                <w:rFonts w:asciiTheme="minorHAnsi" w:hAnsiTheme="minorHAnsi" w:cs="Arial"/>
                <w:b/>
                <w:sz w:val="28"/>
                <w:szCs w:val="28"/>
              </w:rPr>
            </w:pPr>
            <w:r w:rsidRPr="009C549E">
              <w:rPr>
                <w:rFonts w:asciiTheme="minorHAnsi" w:hAnsiTheme="minorHAnsi" w:cs="Arial"/>
                <w:b/>
                <w:sz w:val="28"/>
                <w:szCs w:val="28"/>
              </w:rPr>
              <w:t>Time</w:t>
            </w:r>
          </w:p>
        </w:tc>
        <w:tc>
          <w:tcPr>
            <w:tcW w:w="4635" w:type="dxa"/>
          </w:tcPr>
          <w:p w:rsidR="003F301A" w:rsidRPr="009C549E" w:rsidRDefault="003F301A" w:rsidP="001F6225">
            <w:pPr>
              <w:spacing w:before="40" w:after="40"/>
              <w:rPr>
                <w:rFonts w:asciiTheme="minorHAnsi" w:hAnsiTheme="minorHAnsi" w:cs="Arial"/>
                <w:noProof/>
                <w:sz w:val="28"/>
                <w:szCs w:val="28"/>
              </w:rPr>
            </w:pPr>
            <w:r>
              <w:rPr>
                <w:rFonts w:asciiTheme="minorHAnsi" w:hAnsiTheme="minorHAnsi" w:cs="Arial"/>
                <w:noProof/>
                <w:sz w:val="28"/>
                <w:szCs w:val="28"/>
              </w:rPr>
              <w:t>3:00</w:t>
            </w:r>
            <w:r w:rsidRPr="009C549E">
              <w:rPr>
                <w:rFonts w:asciiTheme="minorHAnsi" w:hAnsiTheme="minorHAnsi" w:cs="Arial"/>
                <w:noProof/>
                <w:sz w:val="28"/>
                <w:szCs w:val="28"/>
              </w:rPr>
              <w:t xml:space="preserve">  – </w:t>
            </w:r>
            <w:r>
              <w:rPr>
                <w:rFonts w:asciiTheme="minorHAnsi" w:hAnsiTheme="minorHAnsi" w:cs="Arial"/>
                <w:noProof/>
                <w:sz w:val="28"/>
                <w:szCs w:val="28"/>
              </w:rPr>
              <w:t>5</w:t>
            </w:r>
            <w:r w:rsidRPr="009C549E">
              <w:rPr>
                <w:rFonts w:asciiTheme="minorHAnsi" w:hAnsiTheme="minorHAnsi" w:cs="Arial"/>
                <w:noProof/>
                <w:sz w:val="28"/>
                <w:szCs w:val="28"/>
              </w:rPr>
              <w:t>:</w:t>
            </w:r>
            <w:r>
              <w:rPr>
                <w:rFonts w:asciiTheme="minorHAnsi" w:hAnsiTheme="minorHAnsi" w:cs="Arial"/>
                <w:noProof/>
                <w:sz w:val="28"/>
                <w:szCs w:val="28"/>
              </w:rPr>
              <w:t>00</w:t>
            </w:r>
            <w:r w:rsidRPr="009C549E">
              <w:rPr>
                <w:rFonts w:asciiTheme="minorHAnsi" w:hAnsiTheme="minorHAnsi" w:cs="Arial"/>
                <w:noProof/>
                <w:sz w:val="28"/>
                <w:szCs w:val="28"/>
              </w:rPr>
              <w:t xml:space="preserve"> PM ET</w:t>
            </w:r>
          </w:p>
        </w:tc>
      </w:tr>
    </w:tbl>
    <w:p w:rsidR="003F301A" w:rsidRPr="00596850" w:rsidRDefault="003F301A" w:rsidP="003F301A">
      <w:pPr>
        <w:spacing w:line="240" w:lineRule="auto"/>
        <w:contextualSpacing/>
        <w:jc w:val="center"/>
        <w:rPr>
          <w:b/>
          <w:sz w:val="28"/>
        </w:rPr>
      </w:pPr>
    </w:p>
    <w:p w:rsidR="003F301A" w:rsidRPr="00441F61" w:rsidRDefault="003F301A" w:rsidP="003F301A">
      <w:pPr>
        <w:pStyle w:val="Heading2"/>
        <w:spacing w:before="0"/>
        <w:rPr>
          <w:rFonts w:ascii="Calibri" w:hAnsi="Calibri"/>
          <w:b/>
          <w:color w:val="337C99"/>
          <w:sz w:val="32"/>
          <w:szCs w:val="32"/>
        </w:rPr>
      </w:pPr>
      <w:r w:rsidRPr="00441F61">
        <w:rPr>
          <w:rFonts w:ascii="Calibri" w:hAnsi="Calibri"/>
          <w:b/>
          <w:color w:val="337C99"/>
          <w:sz w:val="32"/>
          <w:szCs w:val="32"/>
        </w:rPr>
        <w:t>AGENDA</w:t>
      </w:r>
    </w:p>
    <w:p w:rsidR="003F301A" w:rsidRPr="00F049F0" w:rsidRDefault="003F301A" w:rsidP="003F301A">
      <w:pPr>
        <w:pStyle w:val="BodyText"/>
        <w:numPr>
          <w:ilvl w:val="0"/>
          <w:numId w:val="6"/>
        </w:numPr>
      </w:pPr>
      <w:r w:rsidRPr="00D9640A">
        <w:rPr>
          <w:rFonts w:asciiTheme="minorHAnsi" w:hAnsiTheme="minorHAnsi"/>
          <w:b/>
          <w:bCs/>
          <w:szCs w:val="22"/>
        </w:rPr>
        <w:t xml:space="preserve">Welcome and </w:t>
      </w:r>
      <w:r>
        <w:rPr>
          <w:rFonts w:asciiTheme="minorHAnsi" w:hAnsiTheme="minorHAnsi"/>
          <w:b/>
          <w:bCs/>
          <w:szCs w:val="22"/>
        </w:rPr>
        <w:t>introductions</w:t>
      </w:r>
    </w:p>
    <w:p w:rsidR="003F301A" w:rsidRPr="00F049F0" w:rsidRDefault="003F301A" w:rsidP="003F301A">
      <w:pPr>
        <w:pStyle w:val="BodyText"/>
        <w:numPr>
          <w:ilvl w:val="0"/>
          <w:numId w:val="6"/>
        </w:numPr>
        <w:rPr>
          <w:rFonts w:asciiTheme="minorHAnsi" w:hAnsiTheme="minorHAnsi"/>
          <w:b/>
          <w:bCs/>
          <w:szCs w:val="22"/>
        </w:rPr>
      </w:pPr>
      <w:r w:rsidRPr="00F049F0">
        <w:rPr>
          <w:rFonts w:asciiTheme="minorHAnsi" w:hAnsiTheme="minorHAnsi"/>
          <w:b/>
          <w:bCs/>
          <w:szCs w:val="22"/>
        </w:rPr>
        <w:t xml:space="preserve">Discuss ACC/AHA 10-Year ASCVD Risk Assessment Tool Metadata and CDS </w:t>
      </w:r>
      <w:r>
        <w:rPr>
          <w:rFonts w:asciiTheme="minorHAnsi" w:hAnsiTheme="minorHAnsi"/>
          <w:b/>
          <w:bCs/>
          <w:szCs w:val="22"/>
        </w:rPr>
        <w:t>creation</w:t>
      </w:r>
    </w:p>
    <w:p w:rsidR="003F301A" w:rsidRPr="00F049F0" w:rsidRDefault="003F301A" w:rsidP="003F301A">
      <w:pPr>
        <w:pStyle w:val="BodyText"/>
        <w:numPr>
          <w:ilvl w:val="0"/>
          <w:numId w:val="6"/>
        </w:numPr>
        <w:rPr>
          <w:rFonts w:asciiTheme="minorHAnsi" w:hAnsiTheme="minorHAnsi"/>
          <w:b/>
          <w:bCs/>
          <w:szCs w:val="22"/>
        </w:rPr>
      </w:pPr>
      <w:r w:rsidRPr="00F049F0">
        <w:rPr>
          <w:rFonts w:asciiTheme="minorHAnsi" w:hAnsiTheme="minorHAnsi"/>
          <w:b/>
          <w:bCs/>
          <w:szCs w:val="22"/>
        </w:rPr>
        <w:t>Discuss Longitudinal Risk Assessment Tool Metadata, CDS Creation and Shared Decision Making</w:t>
      </w:r>
    </w:p>
    <w:p w:rsidR="003F301A" w:rsidRDefault="003F301A" w:rsidP="003F301A">
      <w:pPr>
        <w:pStyle w:val="BodyText"/>
        <w:numPr>
          <w:ilvl w:val="0"/>
          <w:numId w:val="6"/>
        </w:numPr>
        <w:rPr>
          <w:rFonts w:asciiTheme="minorHAnsi" w:hAnsiTheme="minorHAnsi"/>
          <w:b/>
          <w:bCs/>
          <w:szCs w:val="22"/>
        </w:rPr>
      </w:pPr>
      <w:r w:rsidRPr="00F049F0">
        <w:rPr>
          <w:rFonts w:asciiTheme="minorHAnsi" w:hAnsiTheme="minorHAnsi"/>
          <w:b/>
          <w:bCs/>
          <w:szCs w:val="22"/>
        </w:rPr>
        <w:t>Questions to the Work Group</w:t>
      </w:r>
    </w:p>
    <w:p w:rsidR="003F301A" w:rsidRPr="00F049F0" w:rsidRDefault="003F301A" w:rsidP="003F301A">
      <w:pPr>
        <w:pStyle w:val="BodyText"/>
        <w:numPr>
          <w:ilvl w:val="0"/>
          <w:numId w:val="6"/>
        </w:numPr>
        <w:rPr>
          <w:rFonts w:asciiTheme="minorHAnsi" w:hAnsiTheme="minorHAnsi"/>
          <w:b/>
          <w:bCs/>
          <w:szCs w:val="22"/>
        </w:rPr>
      </w:pPr>
      <w:r w:rsidRPr="004A0255">
        <w:rPr>
          <w:rFonts w:asciiTheme="minorHAnsi" w:hAnsiTheme="minorHAnsi"/>
          <w:b/>
          <w:bCs/>
          <w:szCs w:val="22"/>
        </w:rPr>
        <w:t>Determine Next Artifacts for Development</w:t>
      </w:r>
    </w:p>
    <w:p w:rsidR="003F301A" w:rsidRPr="00F049F0" w:rsidRDefault="003F301A" w:rsidP="003F301A">
      <w:pPr>
        <w:pStyle w:val="BodyText"/>
        <w:numPr>
          <w:ilvl w:val="0"/>
          <w:numId w:val="6"/>
        </w:numPr>
        <w:rPr>
          <w:rFonts w:asciiTheme="minorHAnsi" w:hAnsiTheme="minorHAnsi"/>
          <w:b/>
          <w:bCs/>
          <w:szCs w:val="22"/>
        </w:rPr>
      </w:pPr>
      <w:r w:rsidRPr="00F049F0">
        <w:rPr>
          <w:rFonts w:asciiTheme="minorHAnsi" w:hAnsiTheme="minorHAnsi"/>
          <w:b/>
          <w:bCs/>
          <w:szCs w:val="22"/>
        </w:rPr>
        <w:t>Next Steps and Close</w:t>
      </w:r>
    </w:p>
    <w:p w:rsidR="003F301A" w:rsidRDefault="003F301A" w:rsidP="003F301A">
      <w:pPr>
        <w:pStyle w:val="BodyText"/>
        <w:spacing w:after="0" w:line="240" w:lineRule="auto"/>
        <w:rPr>
          <w:rFonts w:ascii="Calibri" w:hAnsi="Calibri"/>
          <w:b/>
          <w:color w:val="auto"/>
          <w:sz w:val="24"/>
        </w:rPr>
      </w:pPr>
    </w:p>
    <w:p w:rsidR="003F301A" w:rsidRDefault="003F301A" w:rsidP="003F301A">
      <w:pPr>
        <w:pStyle w:val="BodyText"/>
        <w:spacing w:after="0" w:line="240" w:lineRule="auto"/>
        <w:rPr>
          <w:rFonts w:ascii="Calibri" w:hAnsi="Calibri"/>
          <w:b/>
          <w:color w:val="auto"/>
          <w:sz w:val="24"/>
        </w:rPr>
      </w:pPr>
    </w:p>
    <w:p w:rsidR="003F301A" w:rsidRDefault="003F301A" w:rsidP="003F301A">
      <w:pPr>
        <w:pStyle w:val="BodyText"/>
        <w:spacing w:after="0" w:line="240" w:lineRule="auto"/>
        <w:rPr>
          <w:rFonts w:ascii="Calibri" w:hAnsi="Calibri"/>
          <w:b/>
          <w:color w:val="auto"/>
          <w:sz w:val="24"/>
        </w:rPr>
      </w:pPr>
    </w:p>
    <w:p w:rsidR="003F301A" w:rsidRDefault="003F301A" w:rsidP="003F301A">
      <w:pPr>
        <w:pStyle w:val="BodyText"/>
        <w:spacing w:after="0" w:line="240" w:lineRule="auto"/>
        <w:rPr>
          <w:rFonts w:ascii="Calibri" w:hAnsi="Calibri"/>
          <w:b/>
          <w:color w:val="auto"/>
          <w:sz w:val="24"/>
        </w:rPr>
      </w:pPr>
    </w:p>
    <w:p w:rsidR="003F301A" w:rsidRDefault="003F301A" w:rsidP="003F301A">
      <w:pPr>
        <w:pStyle w:val="BodyText"/>
        <w:spacing w:after="0" w:line="240" w:lineRule="auto"/>
        <w:rPr>
          <w:rFonts w:ascii="Calibri" w:hAnsi="Calibri"/>
          <w:b/>
          <w:color w:val="auto"/>
          <w:sz w:val="24"/>
        </w:rPr>
      </w:pPr>
    </w:p>
    <w:p w:rsidR="003F301A" w:rsidRDefault="003F301A" w:rsidP="003F301A">
      <w:pPr>
        <w:pStyle w:val="BodyText"/>
        <w:spacing w:after="0" w:line="240" w:lineRule="auto"/>
        <w:rPr>
          <w:rFonts w:ascii="Calibri" w:hAnsi="Calibri"/>
          <w:b/>
          <w:color w:val="auto"/>
          <w:sz w:val="24"/>
        </w:rPr>
      </w:pPr>
    </w:p>
    <w:p w:rsidR="003F301A" w:rsidRDefault="003F301A" w:rsidP="003F301A">
      <w:pPr>
        <w:pStyle w:val="BodyText"/>
        <w:spacing w:after="0" w:line="240" w:lineRule="auto"/>
        <w:rPr>
          <w:rFonts w:ascii="Calibri" w:hAnsi="Calibri"/>
          <w:b/>
          <w:color w:val="auto"/>
          <w:sz w:val="24"/>
        </w:rPr>
      </w:pPr>
    </w:p>
    <w:p w:rsidR="003F301A" w:rsidRPr="00E70F66" w:rsidRDefault="003F301A" w:rsidP="003F301A">
      <w:pPr>
        <w:pStyle w:val="BodyText"/>
        <w:spacing w:after="0" w:line="240" w:lineRule="auto"/>
        <w:rPr>
          <w:rFonts w:ascii="Calibri" w:hAnsi="Calibri"/>
          <w:b/>
          <w:color w:val="auto"/>
          <w:sz w:val="24"/>
        </w:rPr>
      </w:pPr>
    </w:p>
    <w:p w:rsidR="003F301A" w:rsidRDefault="003F301A" w:rsidP="003F301A"/>
    <w:p w:rsidR="003F301A" w:rsidRDefault="003F301A" w:rsidP="003F301A"/>
    <w:p w:rsidR="003F301A" w:rsidRDefault="003F301A" w:rsidP="003F301A"/>
    <w:p w:rsidR="003F301A" w:rsidRDefault="003F301A" w:rsidP="003F301A"/>
    <w:p w:rsidR="003F301A" w:rsidRDefault="003F301A" w:rsidP="003F301A"/>
    <w:p w:rsidR="003F301A" w:rsidRPr="00441F61" w:rsidRDefault="003F301A" w:rsidP="003F301A">
      <w:pPr>
        <w:keepNext/>
        <w:spacing w:after="0" w:line="240" w:lineRule="auto"/>
        <w:outlineLvl w:val="1"/>
        <w:rPr>
          <w:rFonts w:ascii="Calibri" w:eastAsia="Times New Roman" w:hAnsi="Calibri" w:cs="Arial"/>
          <w:b/>
          <w:color w:val="337C99"/>
          <w:sz w:val="32"/>
          <w:szCs w:val="32"/>
        </w:rPr>
      </w:pPr>
      <w:r w:rsidRPr="00441F61">
        <w:rPr>
          <w:rFonts w:ascii="Calibri" w:eastAsia="Times New Roman" w:hAnsi="Calibri" w:cs="Arial"/>
          <w:b/>
          <w:color w:val="337C99"/>
          <w:sz w:val="32"/>
          <w:szCs w:val="32"/>
        </w:rPr>
        <w:lastRenderedPageBreak/>
        <w:t>SUMMARY</w:t>
      </w:r>
    </w:p>
    <w:p w:rsidR="003F301A" w:rsidRPr="003F301A" w:rsidRDefault="003F301A" w:rsidP="003F301A">
      <w:pPr>
        <w:pStyle w:val="Heading3"/>
        <w:rPr>
          <w:rFonts w:asciiTheme="minorHAnsi" w:hAnsiTheme="minorHAnsi"/>
          <w:b/>
        </w:rPr>
      </w:pPr>
      <w:r w:rsidRPr="003F301A">
        <w:rPr>
          <w:rFonts w:asciiTheme="minorHAnsi" w:hAnsiTheme="minorHAnsi"/>
          <w:b/>
        </w:rPr>
        <w:t>Welcome and introductions</w:t>
      </w:r>
    </w:p>
    <w:p w:rsidR="003F301A" w:rsidRPr="003F301A" w:rsidRDefault="003F301A" w:rsidP="003F301A">
      <w:pPr>
        <w:pStyle w:val="BodyText"/>
        <w:rPr>
          <w:rFonts w:asciiTheme="minorHAnsi" w:hAnsiTheme="minorHAnsi"/>
          <w:color w:val="auto"/>
        </w:rPr>
      </w:pPr>
      <w:r w:rsidRPr="003F301A">
        <w:rPr>
          <w:rFonts w:asciiTheme="minorHAnsi" w:hAnsiTheme="minorHAnsi"/>
          <w:color w:val="auto"/>
        </w:rPr>
        <w:t xml:space="preserve">For the benefit of </w:t>
      </w:r>
      <w:r w:rsidR="00D85B49">
        <w:rPr>
          <w:rFonts w:asciiTheme="minorHAnsi" w:hAnsiTheme="minorHAnsi"/>
          <w:color w:val="auto"/>
        </w:rPr>
        <w:t>work group (</w:t>
      </w:r>
      <w:r w:rsidRPr="003F301A">
        <w:rPr>
          <w:rFonts w:asciiTheme="minorHAnsi" w:hAnsiTheme="minorHAnsi"/>
          <w:color w:val="auto"/>
        </w:rPr>
        <w:t>WG</w:t>
      </w:r>
      <w:r w:rsidR="00D85B49">
        <w:rPr>
          <w:rFonts w:asciiTheme="minorHAnsi" w:hAnsiTheme="minorHAnsi"/>
          <w:color w:val="auto"/>
        </w:rPr>
        <w:t>)</w:t>
      </w:r>
      <w:r w:rsidRPr="003F301A">
        <w:rPr>
          <w:rFonts w:asciiTheme="minorHAnsi" w:hAnsiTheme="minorHAnsi"/>
          <w:color w:val="auto"/>
        </w:rPr>
        <w:t xml:space="preserve"> members who had not attended the first meeting, the group conducted introductions and </w:t>
      </w:r>
      <w:r w:rsidR="00D85B49">
        <w:rPr>
          <w:rFonts w:asciiTheme="minorHAnsi" w:hAnsiTheme="minorHAnsi"/>
          <w:color w:val="auto"/>
        </w:rPr>
        <w:t>CAMH</w:t>
      </w:r>
      <w:r w:rsidRPr="003F301A">
        <w:rPr>
          <w:rFonts w:asciiTheme="minorHAnsi" w:hAnsiTheme="minorHAnsi"/>
          <w:color w:val="auto"/>
        </w:rPr>
        <w:t xml:space="preserve"> provided a brief overview of the project, including project objectives, and main streams of work.</w:t>
      </w:r>
    </w:p>
    <w:p w:rsidR="003F301A" w:rsidRDefault="00D85B49" w:rsidP="003F301A">
      <w:pPr>
        <w:pStyle w:val="BodyText"/>
        <w:spacing w:after="0" w:line="240" w:lineRule="auto"/>
        <w:rPr>
          <w:rFonts w:ascii="Calibri" w:hAnsi="Calibri"/>
          <w:color w:val="auto"/>
        </w:rPr>
      </w:pPr>
      <w:r>
        <w:rPr>
          <w:rFonts w:ascii="Calibri" w:hAnsi="Calibri"/>
          <w:color w:val="auto"/>
        </w:rPr>
        <w:t>CAMH</w:t>
      </w:r>
      <w:r w:rsidR="003F301A" w:rsidRPr="003F301A">
        <w:rPr>
          <w:rFonts w:ascii="Calibri" w:hAnsi="Calibri"/>
          <w:color w:val="auto"/>
        </w:rPr>
        <w:t xml:space="preserve"> also provided a brief overview of the role and charge for the </w:t>
      </w:r>
      <w:r>
        <w:rPr>
          <w:rFonts w:ascii="Calibri" w:hAnsi="Calibri"/>
          <w:color w:val="auto"/>
        </w:rPr>
        <w:t>Ch</w:t>
      </w:r>
      <w:r w:rsidR="003F301A" w:rsidRPr="003F301A">
        <w:rPr>
          <w:rFonts w:ascii="Calibri" w:hAnsi="Calibri"/>
          <w:color w:val="auto"/>
        </w:rPr>
        <w:t>olesterol</w:t>
      </w:r>
      <w:r>
        <w:rPr>
          <w:rFonts w:ascii="Calibri" w:hAnsi="Calibri"/>
          <w:color w:val="auto"/>
        </w:rPr>
        <w:t xml:space="preserve"> Management WG</w:t>
      </w:r>
      <w:r w:rsidR="003F301A" w:rsidRPr="003F301A">
        <w:rPr>
          <w:rFonts w:ascii="Calibri" w:hAnsi="Calibri"/>
          <w:color w:val="auto"/>
        </w:rPr>
        <w:t xml:space="preserve"> as one of two work groups convened to obtain broad community feedback to inform the development of C</w:t>
      </w:r>
      <w:r>
        <w:rPr>
          <w:rFonts w:ascii="Calibri" w:hAnsi="Calibri"/>
          <w:color w:val="auto"/>
        </w:rPr>
        <w:t>DS artifacts and the CDS</w:t>
      </w:r>
      <w:r w:rsidR="003F301A" w:rsidRPr="003F301A">
        <w:rPr>
          <w:rFonts w:ascii="Calibri" w:hAnsi="Calibri"/>
          <w:color w:val="auto"/>
        </w:rPr>
        <w:t xml:space="preserve"> repository.</w:t>
      </w:r>
    </w:p>
    <w:p w:rsidR="003F301A" w:rsidRPr="003F301A" w:rsidRDefault="003F301A" w:rsidP="003F301A">
      <w:pPr>
        <w:pStyle w:val="BodyText"/>
        <w:spacing w:after="0" w:line="240" w:lineRule="auto"/>
        <w:rPr>
          <w:rFonts w:ascii="Calibri" w:hAnsi="Calibri"/>
          <w:color w:val="auto"/>
        </w:rPr>
      </w:pPr>
    </w:p>
    <w:p w:rsidR="003F301A" w:rsidRPr="003F301A" w:rsidRDefault="003F301A" w:rsidP="003F301A">
      <w:pPr>
        <w:pStyle w:val="Heading2"/>
        <w:rPr>
          <w:rFonts w:asciiTheme="minorHAnsi" w:hAnsiTheme="minorHAnsi"/>
          <w:b/>
          <w:color w:val="1F4E79" w:themeColor="accent1" w:themeShade="80"/>
          <w:sz w:val="24"/>
        </w:rPr>
      </w:pPr>
      <w:r w:rsidRPr="003F301A">
        <w:rPr>
          <w:rFonts w:asciiTheme="minorHAnsi" w:hAnsiTheme="minorHAnsi"/>
          <w:b/>
          <w:color w:val="1F4E79" w:themeColor="accent1" w:themeShade="80"/>
          <w:sz w:val="24"/>
        </w:rPr>
        <w:t>Discuss ACC/AHA 10-Year ASCVD Risk Assessment Tool Metadata and CDS creation</w:t>
      </w:r>
    </w:p>
    <w:p w:rsidR="003F301A" w:rsidRPr="003F301A" w:rsidRDefault="00D85B49" w:rsidP="003F301A">
      <w:pPr>
        <w:pStyle w:val="BodyText"/>
        <w:rPr>
          <w:rFonts w:ascii="Calibri" w:hAnsi="Calibri"/>
        </w:rPr>
      </w:pPr>
      <w:r>
        <w:rPr>
          <w:rFonts w:ascii="Calibri" w:hAnsi="Calibri"/>
        </w:rPr>
        <w:t>CAMH</w:t>
      </w:r>
      <w:r w:rsidR="003F301A" w:rsidRPr="003F301A">
        <w:rPr>
          <w:rFonts w:ascii="Calibri" w:hAnsi="Calibri"/>
        </w:rPr>
        <w:t xml:space="preserve"> introduced a draft template used to populate metadata, artifact components and attributes, and other information necessary to fully define CDS artifacts, and elicited feedback from WG members on the content and process of translating narrative to well-defined CDS artifacts.  Several WG members offered their comments:</w:t>
      </w:r>
    </w:p>
    <w:p w:rsidR="003F301A" w:rsidRPr="00B564B6" w:rsidRDefault="003F301A" w:rsidP="003F301A">
      <w:pPr>
        <w:pStyle w:val="BodyText"/>
        <w:spacing w:after="0" w:line="240" w:lineRule="auto"/>
        <w:rPr>
          <w:rFonts w:ascii="Calibri" w:hAnsi="Calibri"/>
          <w:color w:val="auto"/>
          <w:u w:val="single"/>
        </w:rPr>
      </w:pPr>
      <w:r w:rsidRPr="00B564B6">
        <w:rPr>
          <w:rFonts w:ascii="Calibri" w:hAnsi="Calibri"/>
          <w:color w:val="auto"/>
          <w:u w:val="single"/>
        </w:rPr>
        <w:t>On creating CDS artifacts:</w:t>
      </w:r>
    </w:p>
    <w:p w:rsidR="003F301A" w:rsidRDefault="003F301A" w:rsidP="003F301A">
      <w:pPr>
        <w:pStyle w:val="BodyText"/>
        <w:spacing w:after="0" w:line="240" w:lineRule="auto"/>
        <w:rPr>
          <w:rFonts w:ascii="Calibri" w:hAnsi="Calibri"/>
          <w:color w:val="auto"/>
        </w:rPr>
      </w:pPr>
    </w:p>
    <w:p w:rsidR="003F301A" w:rsidRDefault="003F301A" w:rsidP="003F301A">
      <w:pPr>
        <w:pStyle w:val="BodyText"/>
        <w:numPr>
          <w:ilvl w:val="0"/>
          <w:numId w:val="10"/>
        </w:numPr>
        <w:spacing w:after="0" w:line="240" w:lineRule="auto"/>
        <w:rPr>
          <w:rFonts w:ascii="Calibri" w:hAnsi="Calibri"/>
          <w:color w:val="auto"/>
        </w:rPr>
      </w:pPr>
      <w:r w:rsidRPr="000E6301">
        <w:rPr>
          <w:rFonts w:ascii="Calibri" w:hAnsi="Calibri"/>
          <w:b/>
          <w:color w:val="auto"/>
        </w:rPr>
        <w:t>Artifacts should be computable</w:t>
      </w:r>
      <w:r>
        <w:rPr>
          <w:rFonts w:ascii="Calibri" w:hAnsi="Calibri"/>
          <w:color w:val="auto"/>
        </w:rPr>
        <w:t>: Artifacts should be defined at a level of specificity that enables execution (e.g. data elements defined using value sets);</w:t>
      </w:r>
    </w:p>
    <w:p w:rsidR="003F301A" w:rsidRDefault="003F301A" w:rsidP="003F301A">
      <w:pPr>
        <w:pStyle w:val="BodyText"/>
        <w:numPr>
          <w:ilvl w:val="0"/>
          <w:numId w:val="10"/>
        </w:numPr>
        <w:spacing w:after="0" w:line="240" w:lineRule="auto"/>
        <w:rPr>
          <w:rFonts w:ascii="Calibri" w:hAnsi="Calibri"/>
          <w:color w:val="auto"/>
        </w:rPr>
      </w:pPr>
      <w:r w:rsidRPr="003F301A">
        <w:rPr>
          <w:rFonts w:ascii="Calibri" w:hAnsi="Calibri"/>
          <w:b/>
          <w:color w:val="auto"/>
        </w:rPr>
        <w:t>Evidence needs to be contextualized to drive individual care decisions</w:t>
      </w:r>
      <w:r w:rsidRPr="003F301A">
        <w:rPr>
          <w:rFonts w:ascii="Calibri" w:hAnsi="Calibri"/>
          <w:color w:val="auto"/>
        </w:rPr>
        <w:t>: guidelines consolidate and grade evidence; in creating artifacts, it is important to parse the evidence into individual patient profiles.</w:t>
      </w:r>
    </w:p>
    <w:p w:rsidR="003F301A" w:rsidRDefault="003F301A" w:rsidP="003F301A">
      <w:pPr>
        <w:pStyle w:val="BodyText"/>
        <w:numPr>
          <w:ilvl w:val="0"/>
          <w:numId w:val="10"/>
        </w:numPr>
        <w:spacing w:after="0" w:line="240" w:lineRule="auto"/>
        <w:rPr>
          <w:rFonts w:ascii="Calibri" w:hAnsi="Calibri"/>
          <w:color w:val="auto"/>
        </w:rPr>
      </w:pPr>
      <w:r w:rsidRPr="003F301A">
        <w:rPr>
          <w:rFonts w:ascii="Calibri" w:hAnsi="Calibri"/>
          <w:b/>
          <w:color w:val="auto"/>
        </w:rPr>
        <w:t>Presentation of recommendations should be driven by strength and context</w:t>
      </w:r>
      <w:r w:rsidRPr="003F301A">
        <w:rPr>
          <w:rFonts w:ascii="Calibri" w:hAnsi="Calibri"/>
          <w:color w:val="auto"/>
        </w:rPr>
        <w:t>: different presentations of recommendations may yield different results. For example, a risk score is associated with a gradient of shared decision making, and it is important to consider presentation according to this gradient, especially around threshold values for different recommendations.</w:t>
      </w:r>
    </w:p>
    <w:p w:rsidR="003F301A" w:rsidRPr="003F301A" w:rsidRDefault="003F301A" w:rsidP="003F301A">
      <w:pPr>
        <w:pStyle w:val="BodyText"/>
        <w:numPr>
          <w:ilvl w:val="0"/>
          <w:numId w:val="10"/>
        </w:numPr>
        <w:spacing w:after="0" w:line="240" w:lineRule="auto"/>
        <w:rPr>
          <w:rFonts w:ascii="Calibri" w:hAnsi="Calibri"/>
          <w:color w:val="auto"/>
        </w:rPr>
      </w:pPr>
      <w:r w:rsidRPr="003F301A">
        <w:rPr>
          <w:rFonts w:ascii="Calibri" w:hAnsi="Calibri"/>
          <w:b/>
          <w:color w:val="auto"/>
        </w:rPr>
        <w:t>CDS tools should be considered for use outside of clinical visits</w:t>
      </w:r>
      <w:r w:rsidRPr="003F301A">
        <w:rPr>
          <w:rFonts w:ascii="Calibri" w:hAnsi="Calibri"/>
          <w:color w:val="auto"/>
        </w:rPr>
        <w:t xml:space="preserve">, such as in preparation for visits, or as population health management tools.  </w:t>
      </w:r>
    </w:p>
    <w:p w:rsidR="003F301A" w:rsidRDefault="003F301A" w:rsidP="003F301A">
      <w:pPr>
        <w:pStyle w:val="BodyText"/>
        <w:spacing w:after="0" w:line="240" w:lineRule="auto"/>
        <w:rPr>
          <w:rFonts w:ascii="Calibri" w:hAnsi="Calibri"/>
          <w:color w:val="auto"/>
        </w:rPr>
      </w:pPr>
    </w:p>
    <w:p w:rsidR="003F301A" w:rsidRPr="000E6301" w:rsidRDefault="003F301A" w:rsidP="003F301A">
      <w:pPr>
        <w:pStyle w:val="BodyText"/>
        <w:spacing w:after="0" w:line="240" w:lineRule="auto"/>
        <w:rPr>
          <w:rFonts w:ascii="Calibri" w:hAnsi="Calibri"/>
          <w:color w:val="auto"/>
          <w:u w:val="single"/>
        </w:rPr>
      </w:pPr>
      <w:r w:rsidRPr="000E6301">
        <w:rPr>
          <w:rFonts w:ascii="Calibri" w:hAnsi="Calibri"/>
          <w:color w:val="auto"/>
          <w:u w:val="single"/>
        </w:rPr>
        <w:t>On the ACC/AHA 10</w:t>
      </w:r>
      <w:r>
        <w:rPr>
          <w:rFonts w:ascii="Calibri" w:hAnsi="Calibri"/>
          <w:color w:val="auto"/>
          <w:u w:val="single"/>
        </w:rPr>
        <w:t xml:space="preserve"> </w:t>
      </w:r>
      <w:r w:rsidRPr="000E6301">
        <w:rPr>
          <w:rFonts w:ascii="Calibri" w:hAnsi="Calibri"/>
          <w:color w:val="auto"/>
          <w:u w:val="single"/>
        </w:rPr>
        <w:t>Year ASCVD Risk Assessment artifact:</w:t>
      </w:r>
    </w:p>
    <w:p w:rsidR="003F301A" w:rsidRDefault="003F301A" w:rsidP="003F301A">
      <w:pPr>
        <w:pStyle w:val="BodyText"/>
        <w:spacing w:after="0" w:line="240" w:lineRule="auto"/>
        <w:rPr>
          <w:rFonts w:ascii="Calibri" w:hAnsi="Calibri"/>
          <w:color w:val="auto"/>
        </w:rPr>
      </w:pPr>
    </w:p>
    <w:p w:rsidR="003F301A" w:rsidRDefault="003F301A" w:rsidP="003F301A">
      <w:pPr>
        <w:pStyle w:val="BodyText"/>
        <w:numPr>
          <w:ilvl w:val="0"/>
          <w:numId w:val="11"/>
        </w:numPr>
        <w:spacing w:after="0" w:line="240" w:lineRule="auto"/>
        <w:rPr>
          <w:rFonts w:ascii="Calibri" w:hAnsi="Calibri"/>
          <w:color w:val="auto"/>
        </w:rPr>
      </w:pPr>
      <w:r>
        <w:rPr>
          <w:rFonts w:ascii="Calibri" w:hAnsi="Calibri"/>
          <w:color w:val="auto"/>
        </w:rPr>
        <w:t>The WG discussed appropriate scenarios for risk calculation and/or presentation of the risk assessment tool:</w:t>
      </w:r>
    </w:p>
    <w:p w:rsidR="003F301A" w:rsidRDefault="003F301A" w:rsidP="003F301A">
      <w:pPr>
        <w:pStyle w:val="BodyText"/>
        <w:numPr>
          <w:ilvl w:val="1"/>
          <w:numId w:val="11"/>
        </w:numPr>
        <w:spacing w:after="0" w:line="240" w:lineRule="auto"/>
        <w:rPr>
          <w:rFonts w:ascii="Calibri" w:hAnsi="Calibri"/>
          <w:color w:val="auto"/>
        </w:rPr>
      </w:pPr>
      <w:r w:rsidRPr="003F301A">
        <w:rPr>
          <w:rFonts w:ascii="Calibri" w:hAnsi="Calibri"/>
          <w:b/>
          <w:color w:val="auto"/>
        </w:rPr>
        <w:t>Application as a population health management tool:</w:t>
      </w:r>
      <w:r w:rsidRPr="003F301A">
        <w:rPr>
          <w:rFonts w:ascii="Calibri" w:hAnsi="Calibri"/>
          <w:color w:val="auto"/>
        </w:rPr>
        <w:t xml:space="preserve"> this would have the largest impact as a proactive approach to risk stratify and identify potential interventions to target care improvement outside of individual visits.</w:t>
      </w:r>
    </w:p>
    <w:p w:rsidR="003F301A" w:rsidRDefault="003F301A" w:rsidP="003F301A">
      <w:pPr>
        <w:pStyle w:val="BodyText"/>
        <w:numPr>
          <w:ilvl w:val="1"/>
          <w:numId w:val="11"/>
        </w:numPr>
        <w:spacing w:after="0" w:line="240" w:lineRule="auto"/>
        <w:rPr>
          <w:rFonts w:ascii="Calibri" w:hAnsi="Calibri"/>
          <w:color w:val="auto"/>
        </w:rPr>
      </w:pPr>
      <w:r w:rsidRPr="003F301A">
        <w:rPr>
          <w:rFonts w:ascii="Calibri" w:hAnsi="Calibri"/>
          <w:b/>
          <w:color w:val="auto"/>
        </w:rPr>
        <w:t>Allow for flexibility in application as decision aid during visits</w:t>
      </w:r>
      <w:r w:rsidRPr="003F301A">
        <w:rPr>
          <w:rFonts w:ascii="Calibri" w:hAnsi="Calibri"/>
          <w:color w:val="auto"/>
        </w:rPr>
        <w:t xml:space="preserve">, e.g. Kaiser has both an on-demand risk calculator that can produce real-time risk scores but no </w:t>
      </w:r>
      <w:r w:rsidRPr="003F301A">
        <w:rPr>
          <w:rFonts w:ascii="Calibri" w:hAnsi="Calibri"/>
          <w:color w:val="auto"/>
        </w:rPr>
        <w:lastRenderedPageBreak/>
        <w:t>recommendations, and a SMART app where risk scores and accompanying recommendations are refreshed every two days.</w:t>
      </w:r>
    </w:p>
    <w:p w:rsidR="003F301A" w:rsidRPr="009D1C02" w:rsidRDefault="003F301A" w:rsidP="003F301A">
      <w:pPr>
        <w:pStyle w:val="BodyText"/>
        <w:numPr>
          <w:ilvl w:val="1"/>
          <w:numId w:val="11"/>
        </w:numPr>
        <w:spacing w:after="0" w:line="240" w:lineRule="auto"/>
        <w:rPr>
          <w:rFonts w:ascii="Calibri" w:hAnsi="Calibri"/>
          <w:color w:val="auto"/>
        </w:rPr>
      </w:pPr>
      <w:r w:rsidRPr="003F301A">
        <w:rPr>
          <w:rFonts w:ascii="Calibri" w:hAnsi="Calibri"/>
          <w:b/>
          <w:color w:val="auto"/>
        </w:rPr>
        <w:t>Consider clinical workload when embedding tool into clinical workflow</w:t>
      </w:r>
      <w:r w:rsidRPr="003F301A">
        <w:rPr>
          <w:rFonts w:ascii="Calibri" w:hAnsi="Calibri"/>
          <w:color w:val="auto"/>
          <w:szCs w:val="22"/>
        </w:rPr>
        <w:t xml:space="preserve">: </w:t>
      </w:r>
      <w:r w:rsidRPr="009D1C02">
        <w:rPr>
          <w:rFonts w:ascii="Calibri" w:hAnsi="Calibri"/>
          <w:color w:val="auto"/>
          <w:szCs w:val="22"/>
        </w:rPr>
        <w:t>facilitating documentation can motivate clinicians to use the tools, e.g. linking recommendations to medication orders, when appropriate.</w:t>
      </w:r>
    </w:p>
    <w:p w:rsidR="008767D9" w:rsidRPr="009D1C02" w:rsidRDefault="003F301A" w:rsidP="008767D9">
      <w:pPr>
        <w:pStyle w:val="BodyText"/>
        <w:numPr>
          <w:ilvl w:val="1"/>
          <w:numId w:val="11"/>
        </w:numPr>
        <w:spacing w:after="0" w:line="240" w:lineRule="auto"/>
        <w:rPr>
          <w:rFonts w:ascii="Calibri" w:hAnsi="Calibri"/>
          <w:color w:val="auto"/>
        </w:rPr>
      </w:pPr>
      <w:r w:rsidRPr="009D1C02">
        <w:rPr>
          <w:rFonts w:ascii="Calibri" w:hAnsi="Calibri"/>
          <w:b/>
          <w:color w:val="auto"/>
          <w:szCs w:val="22"/>
        </w:rPr>
        <w:t>Cast a broad net for risk calculation/presentation but include appropriate caveats:</w:t>
      </w:r>
      <w:r w:rsidRPr="009D1C02">
        <w:rPr>
          <w:rFonts w:ascii="Calibri" w:hAnsi="Calibri"/>
          <w:color w:val="auto"/>
          <w:szCs w:val="22"/>
        </w:rPr>
        <w:t xml:space="preserve"> excessive requirements around triggers can be frustrating to clinicians, e.g. when a patient is missing a risk factor, the clinician may still want to see the calculated risk. For this reason, the USPTF recommendation to calculate ASCVD risk only when 1 or more risk factor is documented presents a challenge and additional burden to providers and IT systems (e.g., problem lists are not always maintained, the definitio</w:t>
      </w:r>
      <w:r w:rsidR="00D85B49" w:rsidRPr="009D1C02">
        <w:rPr>
          <w:rFonts w:ascii="Calibri" w:hAnsi="Calibri"/>
          <w:color w:val="auto"/>
          <w:szCs w:val="22"/>
        </w:rPr>
        <w:t xml:space="preserve">n of dyslipidemia is unclear). </w:t>
      </w:r>
      <w:r w:rsidRPr="009D1C02">
        <w:rPr>
          <w:rFonts w:ascii="Calibri" w:hAnsi="Calibri"/>
          <w:color w:val="auto"/>
          <w:szCs w:val="22"/>
        </w:rPr>
        <w:t>Potential caveats associated with a risk score calculated based on missing, edge or out of range data should also be presented.</w:t>
      </w:r>
    </w:p>
    <w:p w:rsidR="008767D9" w:rsidRPr="009D1C02" w:rsidRDefault="003F301A" w:rsidP="008767D9">
      <w:pPr>
        <w:pStyle w:val="BodyText"/>
        <w:numPr>
          <w:ilvl w:val="0"/>
          <w:numId w:val="11"/>
        </w:numPr>
        <w:spacing w:after="0" w:line="240" w:lineRule="auto"/>
        <w:rPr>
          <w:rFonts w:ascii="Calibri" w:hAnsi="Calibri"/>
          <w:color w:val="auto"/>
        </w:rPr>
      </w:pPr>
      <w:r w:rsidRPr="009D1C02">
        <w:rPr>
          <w:rFonts w:ascii="Calibri" w:hAnsi="Calibri"/>
          <w:color w:val="auto"/>
          <w:szCs w:val="22"/>
        </w:rPr>
        <w:t>The WG provided recommendations on interventions/actions to consider for patients with ASCVD:</w:t>
      </w:r>
    </w:p>
    <w:p w:rsidR="008767D9" w:rsidRPr="009D1C02" w:rsidRDefault="003F301A" w:rsidP="008767D9">
      <w:pPr>
        <w:pStyle w:val="BodyText"/>
        <w:numPr>
          <w:ilvl w:val="1"/>
          <w:numId w:val="11"/>
        </w:numPr>
        <w:spacing w:after="0" w:line="240" w:lineRule="auto"/>
        <w:rPr>
          <w:rFonts w:ascii="Calibri" w:hAnsi="Calibri"/>
          <w:color w:val="auto"/>
        </w:rPr>
      </w:pPr>
      <w:r w:rsidRPr="009D1C02">
        <w:rPr>
          <w:rFonts w:ascii="Calibri" w:hAnsi="Calibri"/>
          <w:b/>
          <w:color w:val="auto"/>
          <w:szCs w:val="22"/>
        </w:rPr>
        <w:t>Do not present the calculated risk for ASCVD patients, but provide recommendation for statin therapy</w:t>
      </w:r>
      <w:r w:rsidRPr="009D1C02">
        <w:rPr>
          <w:rFonts w:ascii="Calibri" w:hAnsi="Calibri"/>
          <w:color w:val="auto"/>
          <w:szCs w:val="22"/>
        </w:rPr>
        <w:t>. The risk score is invalid for these patients, as they already have ASCVD; however, they would still benefit from statin therapy.</w:t>
      </w:r>
    </w:p>
    <w:p w:rsidR="008767D9" w:rsidRPr="009D1C02" w:rsidRDefault="00D85B49" w:rsidP="008767D9">
      <w:pPr>
        <w:pStyle w:val="BodyText"/>
        <w:numPr>
          <w:ilvl w:val="0"/>
          <w:numId w:val="11"/>
        </w:numPr>
        <w:spacing w:after="0" w:line="240" w:lineRule="auto"/>
        <w:rPr>
          <w:rFonts w:ascii="Calibri" w:hAnsi="Calibri"/>
          <w:color w:val="auto"/>
        </w:rPr>
      </w:pPr>
      <w:r w:rsidRPr="009D1C02">
        <w:rPr>
          <w:rFonts w:ascii="Calibri" w:hAnsi="Calibri"/>
          <w:color w:val="auto"/>
          <w:szCs w:val="22"/>
        </w:rPr>
        <w:t>The WG also</w:t>
      </w:r>
      <w:r w:rsidR="003F301A" w:rsidRPr="009D1C02">
        <w:rPr>
          <w:rFonts w:ascii="Calibri" w:hAnsi="Calibri"/>
          <w:color w:val="auto"/>
          <w:szCs w:val="22"/>
        </w:rPr>
        <w:t xml:space="preserve"> offered considerations surrounding the provision of medication recommendations based on cardiovascular risk:</w:t>
      </w:r>
    </w:p>
    <w:p w:rsidR="008767D9" w:rsidRPr="009D1C02" w:rsidRDefault="003F301A" w:rsidP="008767D9">
      <w:pPr>
        <w:pStyle w:val="BodyText"/>
        <w:numPr>
          <w:ilvl w:val="1"/>
          <w:numId w:val="11"/>
        </w:numPr>
        <w:spacing w:after="0" w:line="240" w:lineRule="auto"/>
        <w:rPr>
          <w:rFonts w:ascii="Calibri" w:hAnsi="Calibri"/>
          <w:color w:val="auto"/>
        </w:rPr>
      </w:pPr>
      <w:r w:rsidRPr="009D1C02">
        <w:rPr>
          <w:rFonts w:ascii="Calibri" w:hAnsi="Calibri"/>
          <w:b/>
          <w:color w:val="auto"/>
          <w:szCs w:val="22"/>
        </w:rPr>
        <w:t>Allergy checking is important, and ideally would be integrated in artifacts providing medication recommendations, but this may pose implementation challenges given current reality</w:t>
      </w:r>
      <w:r w:rsidRPr="009D1C02">
        <w:rPr>
          <w:rFonts w:ascii="Calibri" w:hAnsi="Calibri"/>
          <w:color w:val="auto"/>
          <w:szCs w:val="22"/>
        </w:rPr>
        <w:t>.</w:t>
      </w:r>
    </w:p>
    <w:p w:rsidR="008767D9" w:rsidRPr="009D1C02" w:rsidRDefault="003F301A" w:rsidP="008767D9">
      <w:pPr>
        <w:pStyle w:val="BodyText"/>
        <w:numPr>
          <w:ilvl w:val="2"/>
          <w:numId w:val="11"/>
        </w:numPr>
        <w:spacing w:after="0" w:line="240" w:lineRule="auto"/>
        <w:rPr>
          <w:rFonts w:ascii="Calibri" w:hAnsi="Calibri"/>
          <w:color w:val="auto"/>
        </w:rPr>
      </w:pPr>
      <w:r w:rsidRPr="009D1C02">
        <w:rPr>
          <w:rFonts w:ascii="Calibri" w:hAnsi="Calibri"/>
          <w:color w:val="auto"/>
          <w:szCs w:val="22"/>
        </w:rPr>
        <w:t>Sophisticated systems would embed allergy checking prior to the medication recommendation, instead of relying on other artifacts to verify the patient should receive the medication.</w:t>
      </w:r>
    </w:p>
    <w:p w:rsidR="003F301A" w:rsidRPr="009D1C02" w:rsidRDefault="003F301A" w:rsidP="008767D9">
      <w:pPr>
        <w:pStyle w:val="BodyText"/>
        <w:numPr>
          <w:ilvl w:val="2"/>
          <w:numId w:val="11"/>
        </w:numPr>
        <w:spacing w:after="0" w:line="240" w:lineRule="auto"/>
        <w:rPr>
          <w:rFonts w:ascii="Calibri" w:hAnsi="Calibri"/>
          <w:color w:val="auto"/>
        </w:rPr>
      </w:pPr>
      <w:r w:rsidRPr="009D1C02">
        <w:rPr>
          <w:rFonts w:ascii="Calibri" w:hAnsi="Calibri"/>
          <w:color w:val="auto"/>
          <w:szCs w:val="22"/>
        </w:rPr>
        <w:t>Aim is to develop standards-based, EHR-agnostic artifacts, recognizing some decisions will have to be made at a local level.</w:t>
      </w:r>
    </w:p>
    <w:p w:rsidR="003F301A" w:rsidRPr="009D1C02" w:rsidRDefault="003F301A" w:rsidP="003F301A">
      <w:pPr>
        <w:pStyle w:val="BodyText"/>
        <w:numPr>
          <w:ilvl w:val="1"/>
          <w:numId w:val="7"/>
        </w:numPr>
        <w:spacing w:after="0" w:line="240" w:lineRule="auto"/>
        <w:rPr>
          <w:rFonts w:ascii="Calibri" w:hAnsi="Calibri"/>
          <w:color w:val="auto"/>
          <w:szCs w:val="22"/>
        </w:rPr>
      </w:pPr>
      <w:r w:rsidRPr="009D1C02">
        <w:rPr>
          <w:rFonts w:ascii="Calibri" w:hAnsi="Calibri"/>
          <w:b/>
          <w:color w:val="auto"/>
          <w:szCs w:val="22"/>
        </w:rPr>
        <w:t>Consider a phased approach to artifact development</w:t>
      </w:r>
      <w:r w:rsidRPr="009D1C02">
        <w:rPr>
          <w:rFonts w:ascii="Calibri" w:hAnsi="Calibri"/>
          <w:color w:val="auto"/>
          <w:szCs w:val="22"/>
        </w:rPr>
        <w:t>, starting with basic information (and appropriate disclaimers) and increase the precision and integration of additional checks/actionable interventions over time.</w:t>
      </w:r>
    </w:p>
    <w:p w:rsidR="003F301A" w:rsidRPr="009D1C02" w:rsidRDefault="003F301A" w:rsidP="003F301A">
      <w:pPr>
        <w:pStyle w:val="BodyText"/>
        <w:spacing w:after="0" w:line="240" w:lineRule="auto"/>
        <w:rPr>
          <w:rFonts w:ascii="Calibri" w:hAnsi="Calibri"/>
          <w:color w:val="auto"/>
          <w:szCs w:val="22"/>
        </w:rPr>
      </w:pPr>
    </w:p>
    <w:p w:rsidR="003F301A" w:rsidRPr="009D1C02" w:rsidRDefault="003F301A" w:rsidP="003F301A">
      <w:pPr>
        <w:pStyle w:val="BodyText"/>
        <w:spacing w:after="0" w:line="240" w:lineRule="auto"/>
        <w:rPr>
          <w:rFonts w:ascii="Calibri" w:hAnsi="Calibri"/>
          <w:color w:val="auto"/>
          <w:szCs w:val="22"/>
        </w:rPr>
      </w:pPr>
      <w:r w:rsidRPr="009D1C02">
        <w:rPr>
          <w:rFonts w:ascii="Calibri" w:hAnsi="Calibri"/>
          <w:color w:val="auto"/>
          <w:szCs w:val="22"/>
        </w:rPr>
        <w:t>The WG also debated the merits of using multiple risk tools for cardiovascular risk, and whether there would be value is using both the ACC/AHA 10-Year ASCVD Risk Assessment Tool (targeted at patients who are not currently being treated) and the Longitudinal Risk Assessment Tool (targeted at patients already following statin and/or aspirin therapy). The group agreed that providers should select their preferred tool based on their practice and intention for ascertaining risk (e.g., post initiation of a statin). Note: it is unclear whether licensing restrictions will allow the creation of both risk tools, therefore each will be developed independently for the time being.</w:t>
      </w:r>
    </w:p>
    <w:p w:rsidR="003F301A" w:rsidRDefault="008767D9" w:rsidP="003F301A">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lastRenderedPageBreak/>
        <w:t>Discuss Longitudinal Risk Assessment Tool Metadata, CDS Creation, and Shared Decision Making</w:t>
      </w:r>
    </w:p>
    <w:p w:rsidR="008767D9" w:rsidRPr="009D1C02" w:rsidRDefault="008767D9" w:rsidP="008767D9">
      <w:pPr>
        <w:pStyle w:val="BodyText"/>
        <w:spacing w:after="0" w:line="240" w:lineRule="auto"/>
        <w:rPr>
          <w:rFonts w:asciiTheme="minorHAnsi" w:hAnsiTheme="minorHAnsi"/>
          <w:color w:val="auto"/>
        </w:rPr>
      </w:pPr>
      <w:r w:rsidRPr="009D1C02">
        <w:rPr>
          <w:rFonts w:asciiTheme="minorHAnsi" w:hAnsiTheme="minorHAnsi"/>
          <w:color w:val="auto"/>
        </w:rPr>
        <w:t>The WG discussed two use cases for the longitudinal risk assessment tool in their organizations/initiatives:</w:t>
      </w:r>
    </w:p>
    <w:p w:rsidR="008767D9" w:rsidRPr="00CB7D06" w:rsidRDefault="008767D9" w:rsidP="008767D9">
      <w:pPr>
        <w:pStyle w:val="BodyText"/>
        <w:numPr>
          <w:ilvl w:val="0"/>
          <w:numId w:val="13"/>
        </w:numPr>
        <w:spacing w:after="0" w:line="240" w:lineRule="auto"/>
        <w:rPr>
          <w:rFonts w:asciiTheme="minorHAnsi" w:hAnsiTheme="minorHAnsi"/>
          <w:color w:val="auto"/>
        </w:rPr>
      </w:pPr>
      <w:r w:rsidRPr="009D1C02">
        <w:rPr>
          <w:rFonts w:asciiTheme="minorHAnsi" w:hAnsiTheme="minorHAnsi"/>
          <w:color w:val="auto"/>
        </w:rPr>
        <w:t>The</w:t>
      </w:r>
      <w:r w:rsidRPr="00CB7D06">
        <w:rPr>
          <w:rFonts w:asciiTheme="minorHAnsi" w:hAnsiTheme="minorHAnsi"/>
          <w:color w:val="auto"/>
        </w:rPr>
        <w:t xml:space="preserve"> </w:t>
      </w:r>
      <w:hyperlink r:id="rId8" w:history="1">
        <w:r w:rsidRPr="00CB7D06">
          <w:rPr>
            <w:rStyle w:val="Hyperlink"/>
            <w:rFonts w:asciiTheme="minorHAnsi" w:hAnsiTheme="minorHAnsi"/>
          </w:rPr>
          <w:t>Million Hearts® Cardiovascular Disease (CVD) Risk Reduction Model is conducting a randomized controlled trial</w:t>
        </w:r>
      </w:hyperlink>
      <w:r w:rsidRPr="00CB7D06">
        <w:rPr>
          <w:rStyle w:val="Hyperlink"/>
          <w:rFonts w:asciiTheme="minorHAnsi" w:hAnsiTheme="minorHAnsi"/>
        </w:rPr>
        <w:t xml:space="preserve"> </w:t>
      </w:r>
      <w:r w:rsidRPr="009D1C02">
        <w:rPr>
          <w:rStyle w:val="Hyperlink"/>
          <w:rFonts w:asciiTheme="minorHAnsi" w:hAnsiTheme="minorHAnsi"/>
          <w:color w:val="auto"/>
          <w:u w:val="none"/>
        </w:rPr>
        <w:t>that</w:t>
      </w:r>
      <w:r w:rsidRPr="009D1C02">
        <w:rPr>
          <w:rFonts w:asciiTheme="minorHAnsi" w:hAnsiTheme="minorHAnsi"/>
          <w:color w:val="auto"/>
        </w:rPr>
        <w:t xml:space="preserve"> aims to study the impact of a payment structure incentivizing a team</w:t>
      </w:r>
      <w:r w:rsidRPr="009D1C02">
        <w:rPr>
          <w:rFonts w:asciiTheme="minorHAnsi" w:hAnsiTheme="minorHAnsi"/>
          <w:color w:val="auto"/>
        </w:rPr>
        <w:noBreakHyphen/>
        <w:t>based care model to identify and manage high risk populations. The tool will be used risk stratify the population and measure overall risk reduction in the population over a period of four years.</w:t>
      </w:r>
    </w:p>
    <w:p w:rsidR="008767D9" w:rsidRPr="009D1C02" w:rsidRDefault="008767D9" w:rsidP="008767D9">
      <w:pPr>
        <w:pStyle w:val="BodyText"/>
        <w:numPr>
          <w:ilvl w:val="1"/>
          <w:numId w:val="13"/>
        </w:numPr>
        <w:spacing w:after="0" w:line="240" w:lineRule="auto"/>
        <w:rPr>
          <w:rFonts w:asciiTheme="minorHAnsi" w:hAnsiTheme="minorHAnsi"/>
          <w:color w:val="auto"/>
        </w:rPr>
      </w:pPr>
      <w:r w:rsidRPr="009D1C02">
        <w:rPr>
          <w:rFonts w:asciiTheme="minorHAnsi" w:hAnsiTheme="minorHAnsi"/>
          <w:color w:val="auto"/>
        </w:rPr>
        <w:t>Organizations participating in the clinical trial will enter information to obtain the risk scores trough a registry. CMS is interested in lowering the effort for trial participants by embedding the tool within EHR systems, rather than maintain it in a standalone registry.</w:t>
      </w:r>
    </w:p>
    <w:p w:rsidR="008767D9" w:rsidRPr="00CB7D06" w:rsidRDefault="008767D9" w:rsidP="008767D9">
      <w:pPr>
        <w:pStyle w:val="BodyText"/>
        <w:numPr>
          <w:ilvl w:val="1"/>
          <w:numId w:val="12"/>
        </w:numPr>
        <w:spacing w:after="0" w:line="240" w:lineRule="auto"/>
        <w:rPr>
          <w:rFonts w:asciiTheme="minorHAnsi" w:hAnsiTheme="minorHAnsi"/>
          <w:color w:val="auto"/>
        </w:rPr>
      </w:pPr>
      <w:r w:rsidRPr="009D1C02">
        <w:rPr>
          <w:rFonts w:asciiTheme="minorHAnsi" w:hAnsiTheme="minorHAnsi"/>
          <w:color w:val="auto"/>
        </w:rPr>
        <w:t xml:space="preserve">The longitudinal risk assessment tool is currently available as part of a </w:t>
      </w:r>
      <w:hyperlink r:id="rId9" w:history="1">
        <w:r w:rsidRPr="00CB7D06">
          <w:rPr>
            <w:rStyle w:val="Hyperlink"/>
            <w:rFonts w:asciiTheme="minorHAnsi" w:hAnsiTheme="minorHAnsi"/>
          </w:rPr>
          <w:t>published article in JAMA</w:t>
        </w:r>
      </w:hyperlink>
      <w:r w:rsidRPr="00CB7D06">
        <w:rPr>
          <w:rFonts w:asciiTheme="minorHAnsi" w:hAnsiTheme="minorHAnsi"/>
          <w:color w:val="auto"/>
        </w:rPr>
        <w:t xml:space="preserve">, </w:t>
      </w:r>
      <w:r w:rsidRPr="009D1C02">
        <w:rPr>
          <w:rFonts w:asciiTheme="minorHAnsi" w:hAnsiTheme="minorHAnsi"/>
          <w:color w:val="auto"/>
        </w:rPr>
        <w:t>but not currently available as a standalone tool outside of the clinical trial.</w:t>
      </w:r>
    </w:p>
    <w:p w:rsidR="008767D9" w:rsidRPr="009D1C02" w:rsidRDefault="008767D9" w:rsidP="008767D9">
      <w:pPr>
        <w:pStyle w:val="BodyText"/>
        <w:numPr>
          <w:ilvl w:val="0"/>
          <w:numId w:val="13"/>
        </w:numPr>
        <w:spacing w:after="0" w:line="240" w:lineRule="auto"/>
        <w:rPr>
          <w:rFonts w:asciiTheme="minorHAnsi" w:hAnsiTheme="minorHAnsi"/>
          <w:color w:val="auto"/>
        </w:rPr>
      </w:pPr>
      <w:r w:rsidRPr="009D1C02">
        <w:rPr>
          <w:rFonts w:asciiTheme="minorHAnsi" w:hAnsiTheme="minorHAnsi"/>
          <w:color w:val="auto"/>
        </w:rPr>
        <w:t>The</w:t>
      </w:r>
      <w:r w:rsidRPr="00CB7D06">
        <w:rPr>
          <w:rFonts w:asciiTheme="minorHAnsi" w:hAnsiTheme="minorHAnsi"/>
          <w:color w:val="auto"/>
        </w:rPr>
        <w:t xml:space="preserve"> </w:t>
      </w:r>
      <w:hyperlink r:id="rId10" w:history="1">
        <w:r w:rsidRPr="00CB7D06">
          <w:rPr>
            <w:rStyle w:val="Hyperlink"/>
            <w:rFonts w:asciiTheme="minorHAnsi" w:hAnsiTheme="minorHAnsi"/>
          </w:rPr>
          <w:t>Statin Choice Tool</w:t>
        </w:r>
      </w:hyperlink>
      <w:r w:rsidRPr="00CB7D06">
        <w:rPr>
          <w:rFonts w:asciiTheme="minorHAnsi" w:hAnsiTheme="minorHAnsi"/>
          <w:b/>
          <w:color w:val="auto"/>
        </w:rPr>
        <w:t xml:space="preserve"> </w:t>
      </w:r>
      <w:r w:rsidRPr="009D1C02">
        <w:rPr>
          <w:rFonts w:asciiTheme="minorHAnsi" w:hAnsiTheme="minorHAnsi"/>
          <w:color w:val="auto"/>
        </w:rPr>
        <w:t xml:space="preserve">is one of many </w:t>
      </w:r>
      <w:hyperlink r:id="rId11" w:history="1">
        <w:r w:rsidRPr="00CB7D06">
          <w:rPr>
            <w:rStyle w:val="Hyperlink"/>
            <w:rFonts w:asciiTheme="minorHAnsi" w:hAnsiTheme="minorHAnsi"/>
          </w:rPr>
          <w:t>Mayo Clinic Shared Decision Model National Resource Center</w:t>
        </w:r>
      </w:hyperlink>
      <w:r w:rsidRPr="00CB7D06">
        <w:rPr>
          <w:rFonts w:asciiTheme="minorHAnsi" w:hAnsiTheme="minorHAnsi"/>
          <w:b/>
          <w:color w:val="auto"/>
        </w:rPr>
        <w:t xml:space="preserve"> </w:t>
      </w:r>
      <w:r w:rsidRPr="009D1C02">
        <w:rPr>
          <w:rFonts w:asciiTheme="minorHAnsi" w:hAnsiTheme="minorHAnsi"/>
          <w:color w:val="auto"/>
        </w:rPr>
        <w:t>tools to promote conversations with patients during clinical visits.</w:t>
      </w:r>
    </w:p>
    <w:p w:rsidR="008767D9" w:rsidRPr="009D1C02" w:rsidRDefault="008767D9" w:rsidP="008767D9">
      <w:pPr>
        <w:pStyle w:val="BodyText"/>
        <w:numPr>
          <w:ilvl w:val="1"/>
          <w:numId w:val="13"/>
        </w:numPr>
        <w:spacing w:after="0" w:line="240" w:lineRule="auto"/>
        <w:rPr>
          <w:rFonts w:asciiTheme="minorHAnsi" w:hAnsiTheme="minorHAnsi"/>
          <w:color w:val="auto"/>
        </w:rPr>
      </w:pPr>
      <w:r w:rsidRPr="009D1C02">
        <w:rPr>
          <w:rFonts w:asciiTheme="minorHAnsi" w:hAnsiTheme="minorHAnsi"/>
          <w:color w:val="auto"/>
        </w:rPr>
        <w:t xml:space="preserve">The tool has undergone many iterations and has been refined over time with input from clinicians and patients. </w:t>
      </w:r>
    </w:p>
    <w:p w:rsidR="008767D9" w:rsidRPr="009D1C02" w:rsidRDefault="008767D9" w:rsidP="008767D9">
      <w:pPr>
        <w:pStyle w:val="BodyText"/>
        <w:numPr>
          <w:ilvl w:val="1"/>
          <w:numId w:val="13"/>
        </w:numPr>
        <w:spacing w:after="0" w:line="240" w:lineRule="auto"/>
        <w:rPr>
          <w:rFonts w:asciiTheme="minorHAnsi" w:hAnsiTheme="minorHAnsi"/>
          <w:color w:val="auto"/>
        </w:rPr>
      </w:pPr>
      <w:r w:rsidRPr="009D1C02">
        <w:rPr>
          <w:rFonts w:asciiTheme="minorHAnsi" w:hAnsiTheme="minorHAnsi"/>
          <w:color w:val="auto"/>
        </w:rPr>
        <w:t>Lessons learned:</w:t>
      </w:r>
    </w:p>
    <w:p w:rsidR="008767D9" w:rsidRPr="009D1C02" w:rsidRDefault="008767D9" w:rsidP="008767D9">
      <w:pPr>
        <w:pStyle w:val="BodyText"/>
        <w:numPr>
          <w:ilvl w:val="2"/>
          <w:numId w:val="13"/>
        </w:numPr>
        <w:spacing w:after="0" w:line="240" w:lineRule="auto"/>
        <w:rPr>
          <w:rFonts w:asciiTheme="minorHAnsi" w:hAnsiTheme="minorHAnsi"/>
          <w:color w:val="auto"/>
        </w:rPr>
      </w:pPr>
      <w:r w:rsidRPr="009D1C02">
        <w:rPr>
          <w:rFonts w:asciiTheme="minorHAnsi" w:hAnsiTheme="minorHAnsi"/>
          <w:b/>
          <w:color w:val="auto"/>
        </w:rPr>
        <w:t>Effective risk communication requires analogies</w:t>
      </w:r>
      <w:r w:rsidRPr="009D1C02">
        <w:rPr>
          <w:rFonts w:asciiTheme="minorHAnsi" w:hAnsiTheme="minorHAnsi"/>
          <w:color w:val="auto"/>
        </w:rPr>
        <w:t xml:space="preserve"> (e.g. patients like you) and in whole numbers instead of probabilities (e.g. 1 in 10 patients vs. 10% of patients);</w:t>
      </w:r>
    </w:p>
    <w:p w:rsidR="008767D9" w:rsidRPr="009D1C02" w:rsidRDefault="008767D9" w:rsidP="008767D9">
      <w:pPr>
        <w:pStyle w:val="BodyText"/>
        <w:numPr>
          <w:ilvl w:val="2"/>
          <w:numId w:val="13"/>
        </w:numPr>
        <w:spacing w:after="0" w:line="240" w:lineRule="auto"/>
        <w:rPr>
          <w:rFonts w:ascii="Calibri" w:hAnsi="Calibri"/>
          <w:color w:val="auto"/>
        </w:rPr>
      </w:pPr>
      <w:r w:rsidRPr="009D1C02">
        <w:rPr>
          <w:rFonts w:asciiTheme="minorHAnsi" w:hAnsiTheme="minorHAnsi"/>
          <w:b/>
          <w:color w:val="auto"/>
        </w:rPr>
        <w:t>Shared decision making must include not just the risk of cardiovascular disease, but the potential impact of statin therapy, and in turn, the risks associated with the therapy.</w:t>
      </w:r>
    </w:p>
    <w:p w:rsidR="008767D9" w:rsidRDefault="008767D9" w:rsidP="003F301A">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t>Questions to the Work Group</w:t>
      </w:r>
    </w:p>
    <w:p w:rsidR="008767D9" w:rsidRPr="009D1C02" w:rsidRDefault="008767D9" w:rsidP="008767D9">
      <w:pPr>
        <w:pStyle w:val="BodyText"/>
        <w:spacing w:after="0" w:line="240" w:lineRule="auto"/>
        <w:rPr>
          <w:rFonts w:ascii="Calibri" w:hAnsi="Calibri"/>
          <w:color w:val="auto"/>
          <w:szCs w:val="22"/>
        </w:rPr>
      </w:pPr>
      <w:r w:rsidRPr="009D1C02">
        <w:rPr>
          <w:rFonts w:ascii="Calibri" w:hAnsi="Calibri"/>
          <w:color w:val="auto"/>
          <w:szCs w:val="22"/>
        </w:rPr>
        <w:t>This topic was not covered in the meeting.</w:t>
      </w:r>
    </w:p>
    <w:p w:rsidR="003F301A" w:rsidRDefault="008767D9" w:rsidP="003F301A">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t>Determine Next Artifacts for Development</w:t>
      </w:r>
    </w:p>
    <w:p w:rsidR="00D85B49" w:rsidRPr="009D1C02" w:rsidRDefault="008767D9" w:rsidP="00D85B49">
      <w:pPr>
        <w:pStyle w:val="BodyText"/>
        <w:spacing w:after="0" w:line="240" w:lineRule="auto"/>
        <w:rPr>
          <w:rFonts w:ascii="Calibri" w:hAnsi="Calibri"/>
          <w:color w:val="auto"/>
          <w:szCs w:val="22"/>
        </w:rPr>
      </w:pPr>
      <w:r w:rsidRPr="009D1C02">
        <w:rPr>
          <w:rFonts w:ascii="Calibri" w:hAnsi="Calibri"/>
          <w:color w:val="auto"/>
          <w:szCs w:val="22"/>
        </w:rPr>
        <w:t xml:space="preserve">The WG briefly discussed artifacts in queue for development, particularly those related to existing quality measures. Two existing measures were ruled out </w:t>
      </w:r>
      <w:r w:rsidR="00D85B49" w:rsidRPr="009D1C02">
        <w:rPr>
          <w:rFonts w:ascii="Calibri" w:hAnsi="Calibri"/>
          <w:color w:val="auto"/>
          <w:szCs w:val="22"/>
        </w:rPr>
        <w:t>since they were not aligned</w:t>
      </w:r>
      <w:r w:rsidRPr="009D1C02">
        <w:rPr>
          <w:rFonts w:ascii="Calibri" w:hAnsi="Calibri"/>
          <w:color w:val="auto"/>
          <w:szCs w:val="22"/>
        </w:rPr>
        <w:t xml:space="preserve"> with the latest clinical evidence:</w:t>
      </w:r>
    </w:p>
    <w:p w:rsidR="00D85B49" w:rsidRPr="009D1C02" w:rsidRDefault="008767D9" w:rsidP="00D85B49">
      <w:pPr>
        <w:pStyle w:val="BodyText"/>
        <w:numPr>
          <w:ilvl w:val="0"/>
          <w:numId w:val="13"/>
        </w:numPr>
        <w:spacing w:after="0" w:line="240" w:lineRule="auto"/>
        <w:rPr>
          <w:rFonts w:ascii="Calibri" w:hAnsi="Calibri"/>
          <w:color w:val="auto"/>
          <w:szCs w:val="22"/>
        </w:rPr>
      </w:pPr>
      <w:r w:rsidRPr="009D1C02">
        <w:rPr>
          <w:rFonts w:ascii="Calibri" w:hAnsi="Calibri"/>
          <w:color w:val="auto"/>
          <w:szCs w:val="22"/>
        </w:rPr>
        <w:t>Preventive Care and Screening: Cholesterol - Fasting Low Density Lipoprotein (LDL-C) Test Performed (CMS 61)</w:t>
      </w:r>
    </w:p>
    <w:p w:rsidR="008767D9" w:rsidRPr="009D1C02" w:rsidRDefault="008767D9" w:rsidP="00D85B49">
      <w:pPr>
        <w:pStyle w:val="BodyText"/>
        <w:numPr>
          <w:ilvl w:val="0"/>
          <w:numId w:val="13"/>
        </w:numPr>
        <w:spacing w:after="0" w:line="240" w:lineRule="auto"/>
        <w:rPr>
          <w:rFonts w:ascii="Calibri" w:hAnsi="Calibri"/>
          <w:color w:val="auto"/>
          <w:szCs w:val="22"/>
        </w:rPr>
      </w:pPr>
      <w:r w:rsidRPr="009D1C02">
        <w:rPr>
          <w:rFonts w:ascii="Calibri" w:hAnsi="Calibri"/>
          <w:color w:val="auto"/>
          <w:szCs w:val="22"/>
        </w:rPr>
        <w:t>Preventive Care and Screening: Risk-Stratified Cholesterol -Fasting Low Density Lipoprotein (LDL-C) (CMS 64)</w:t>
      </w:r>
    </w:p>
    <w:p w:rsidR="00D85B49" w:rsidRPr="009D1C02" w:rsidRDefault="008767D9" w:rsidP="00D85B49">
      <w:pPr>
        <w:pStyle w:val="BodyText"/>
        <w:spacing w:after="0" w:line="240" w:lineRule="auto"/>
        <w:rPr>
          <w:rFonts w:ascii="Calibri" w:hAnsi="Calibri"/>
          <w:color w:val="auto"/>
          <w:szCs w:val="22"/>
        </w:rPr>
      </w:pPr>
      <w:r w:rsidRPr="009D1C02">
        <w:rPr>
          <w:rFonts w:ascii="Calibri" w:hAnsi="Calibri"/>
          <w:color w:val="auto"/>
          <w:szCs w:val="22"/>
        </w:rPr>
        <w:t>The group agreed on pursuing development of artifacts in alignment with other quality measures:</w:t>
      </w:r>
    </w:p>
    <w:p w:rsidR="00D85B49" w:rsidRPr="009D1C02" w:rsidRDefault="008767D9" w:rsidP="00D85B49">
      <w:pPr>
        <w:pStyle w:val="BodyText"/>
        <w:numPr>
          <w:ilvl w:val="0"/>
          <w:numId w:val="16"/>
        </w:numPr>
        <w:spacing w:after="0" w:line="240" w:lineRule="auto"/>
        <w:rPr>
          <w:rFonts w:ascii="Calibri" w:hAnsi="Calibri"/>
          <w:color w:val="auto"/>
          <w:szCs w:val="22"/>
        </w:rPr>
      </w:pPr>
      <w:r w:rsidRPr="009D1C02">
        <w:rPr>
          <w:rFonts w:ascii="Calibri" w:hAnsi="Calibri"/>
          <w:color w:val="auto"/>
          <w:szCs w:val="22"/>
        </w:rPr>
        <w:t>Statin use for primary prevention (PQRS#438)</w:t>
      </w:r>
    </w:p>
    <w:p w:rsidR="00D85B49" w:rsidRPr="009D1C02" w:rsidRDefault="008767D9" w:rsidP="00D85B49">
      <w:pPr>
        <w:pStyle w:val="BodyText"/>
        <w:numPr>
          <w:ilvl w:val="0"/>
          <w:numId w:val="16"/>
        </w:numPr>
        <w:spacing w:after="0" w:line="240" w:lineRule="auto"/>
        <w:rPr>
          <w:rFonts w:ascii="Calibri" w:hAnsi="Calibri"/>
          <w:color w:val="auto"/>
          <w:szCs w:val="22"/>
        </w:rPr>
      </w:pPr>
      <w:r w:rsidRPr="009D1C02">
        <w:rPr>
          <w:rFonts w:ascii="Calibri" w:hAnsi="Calibri"/>
          <w:color w:val="auto"/>
          <w:szCs w:val="22"/>
        </w:rPr>
        <w:t>Aspirin when appropriate (CMS 164)</w:t>
      </w:r>
    </w:p>
    <w:p w:rsidR="00D85B49" w:rsidRPr="009D1C02" w:rsidRDefault="008767D9" w:rsidP="00D85B49">
      <w:pPr>
        <w:pStyle w:val="BodyText"/>
        <w:numPr>
          <w:ilvl w:val="0"/>
          <w:numId w:val="16"/>
        </w:numPr>
        <w:spacing w:after="0" w:line="240" w:lineRule="auto"/>
        <w:rPr>
          <w:rFonts w:ascii="Calibri" w:hAnsi="Calibri"/>
          <w:color w:val="auto"/>
          <w:szCs w:val="22"/>
        </w:rPr>
      </w:pPr>
      <w:r w:rsidRPr="009D1C02">
        <w:rPr>
          <w:rFonts w:ascii="Calibri" w:hAnsi="Calibri"/>
          <w:color w:val="auto"/>
          <w:szCs w:val="22"/>
        </w:rPr>
        <w:lastRenderedPageBreak/>
        <w:t>Blood pressure screening and follow up (CMS 22)</w:t>
      </w:r>
    </w:p>
    <w:p w:rsidR="00D85B49" w:rsidRPr="009D1C02" w:rsidRDefault="008767D9" w:rsidP="00D85B49">
      <w:pPr>
        <w:pStyle w:val="BodyText"/>
        <w:numPr>
          <w:ilvl w:val="0"/>
          <w:numId w:val="16"/>
        </w:numPr>
        <w:spacing w:after="0" w:line="240" w:lineRule="auto"/>
        <w:rPr>
          <w:rFonts w:ascii="Calibri" w:hAnsi="Calibri"/>
          <w:color w:val="auto"/>
          <w:szCs w:val="22"/>
        </w:rPr>
      </w:pPr>
      <w:r w:rsidRPr="009D1C02">
        <w:rPr>
          <w:rFonts w:ascii="Calibri" w:hAnsi="Calibri"/>
          <w:color w:val="auto"/>
          <w:szCs w:val="22"/>
        </w:rPr>
        <w:t>Blood pressure control (CMS 165)</w:t>
      </w:r>
    </w:p>
    <w:p w:rsidR="008767D9" w:rsidRPr="009D1C02" w:rsidRDefault="008767D9" w:rsidP="00D85B49">
      <w:pPr>
        <w:pStyle w:val="BodyText"/>
        <w:numPr>
          <w:ilvl w:val="0"/>
          <w:numId w:val="16"/>
        </w:numPr>
        <w:spacing w:after="0" w:line="240" w:lineRule="auto"/>
        <w:rPr>
          <w:rFonts w:ascii="Calibri" w:hAnsi="Calibri"/>
          <w:color w:val="auto"/>
          <w:szCs w:val="22"/>
        </w:rPr>
      </w:pPr>
      <w:r w:rsidRPr="009D1C02">
        <w:rPr>
          <w:rFonts w:ascii="Calibri" w:hAnsi="Calibri"/>
          <w:color w:val="auto"/>
          <w:szCs w:val="22"/>
        </w:rPr>
        <w:t>Smoking assessment and treatment (CMS 138)</w:t>
      </w:r>
    </w:p>
    <w:p w:rsidR="00D85B49" w:rsidRPr="009D1C02" w:rsidRDefault="00D85B49" w:rsidP="00D85B49">
      <w:pPr>
        <w:pStyle w:val="BodyText"/>
        <w:spacing w:after="0" w:line="240" w:lineRule="auto"/>
        <w:ind w:left="720"/>
        <w:rPr>
          <w:rFonts w:ascii="Calibri" w:hAnsi="Calibri"/>
          <w:color w:val="auto"/>
          <w:szCs w:val="22"/>
        </w:rPr>
      </w:pPr>
    </w:p>
    <w:p w:rsidR="008767D9" w:rsidRPr="009D1C02" w:rsidRDefault="008767D9" w:rsidP="00D85B49">
      <w:pPr>
        <w:pStyle w:val="BodyText"/>
        <w:spacing w:after="0" w:line="240" w:lineRule="auto"/>
        <w:rPr>
          <w:rFonts w:ascii="Calibri" w:hAnsi="Calibri"/>
          <w:color w:val="auto"/>
          <w:szCs w:val="22"/>
        </w:rPr>
      </w:pPr>
      <w:r w:rsidRPr="009D1C02">
        <w:rPr>
          <w:rFonts w:ascii="Calibri" w:hAnsi="Calibri"/>
          <w:color w:val="auto"/>
          <w:szCs w:val="22"/>
        </w:rPr>
        <w:t>Million Hearts representatives will provide an update on CMS 164, CMS 22, CMS 165 and CMS 138 and where they fall in new alignment efforts as soon as the information is available.</w:t>
      </w:r>
    </w:p>
    <w:p w:rsidR="003F301A" w:rsidRDefault="003F301A" w:rsidP="003F301A">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t>Next Steps and Close</w:t>
      </w:r>
    </w:p>
    <w:p w:rsidR="00D85B49" w:rsidRPr="009D1C02" w:rsidRDefault="00D85B49" w:rsidP="00D85B49">
      <w:pPr>
        <w:pStyle w:val="BodyText"/>
        <w:spacing w:after="0" w:line="240" w:lineRule="auto"/>
        <w:rPr>
          <w:rFonts w:ascii="Calibri" w:hAnsi="Calibri"/>
          <w:color w:val="auto"/>
          <w:szCs w:val="22"/>
        </w:rPr>
      </w:pPr>
      <w:r w:rsidRPr="009D1C02">
        <w:rPr>
          <w:rFonts w:ascii="Calibri" w:hAnsi="Calibri"/>
          <w:color w:val="auto"/>
          <w:szCs w:val="22"/>
        </w:rPr>
        <w:t>CAMH thanked the WG members for their feedback and active participation in the discussion.</w:t>
      </w:r>
    </w:p>
    <w:p w:rsidR="003F301A" w:rsidRPr="00A309CC" w:rsidRDefault="003F301A" w:rsidP="003F301A">
      <w:pPr>
        <w:pStyle w:val="BodyText"/>
        <w:rPr>
          <w:kern w:val="0"/>
        </w:rPr>
      </w:pPr>
    </w:p>
    <w:p w:rsidR="003F301A" w:rsidRDefault="003F301A" w:rsidP="003F301A">
      <w:pPr>
        <w:spacing w:after="0" w:line="240" w:lineRule="auto"/>
        <w:jc w:val="center"/>
        <w:rPr>
          <w:rFonts w:ascii="Times" w:eastAsia="Times New Roman" w:hAnsi="Times" w:cs="Times New Roman"/>
          <w:b/>
          <w:sz w:val="28"/>
          <w:szCs w:val="24"/>
        </w:rPr>
      </w:pPr>
    </w:p>
    <w:p w:rsidR="003F301A" w:rsidRDefault="003F301A" w:rsidP="003F301A">
      <w:pPr>
        <w:spacing w:after="0" w:line="240" w:lineRule="auto"/>
        <w:jc w:val="center"/>
        <w:rPr>
          <w:rFonts w:ascii="Times" w:eastAsia="Times New Roman" w:hAnsi="Times" w:cs="Times New Roman"/>
          <w:b/>
          <w:sz w:val="28"/>
          <w:szCs w:val="24"/>
        </w:rPr>
      </w:pPr>
    </w:p>
    <w:p w:rsidR="003F301A" w:rsidRDefault="003F301A" w:rsidP="003F301A">
      <w:pPr>
        <w:spacing w:after="0" w:line="240" w:lineRule="auto"/>
        <w:jc w:val="center"/>
        <w:rPr>
          <w:rFonts w:ascii="Times" w:eastAsia="Times New Roman" w:hAnsi="Times" w:cs="Times New Roman"/>
          <w:b/>
          <w:sz w:val="28"/>
          <w:szCs w:val="24"/>
        </w:rPr>
      </w:pPr>
    </w:p>
    <w:p w:rsidR="003F301A" w:rsidRDefault="003F301A" w:rsidP="003F301A">
      <w:pPr>
        <w:spacing w:after="0" w:line="240" w:lineRule="auto"/>
        <w:jc w:val="center"/>
        <w:rPr>
          <w:rFonts w:ascii="Times" w:eastAsia="Times New Roman" w:hAnsi="Times" w:cs="Times New Roman"/>
          <w:b/>
          <w:sz w:val="28"/>
          <w:szCs w:val="24"/>
        </w:rPr>
      </w:pPr>
    </w:p>
    <w:p w:rsidR="003F301A" w:rsidRDefault="003F301A" w:rsidP="003F301A">
      <w:pPr>
        <w:spacing w:after="0" w:line="240" w:lineRule="auto"/>
        <w:jc w:val="center"/>
        <w:rPr>
          <w:rFonts w:ascii="Times" w:eastAsia="Times New Roman" w:hAnsi="Times" w:cs="Times New Roman"/>
          <w:b/>
          <w:sz w:val="28"/>
          <w:szCs w:val="24"/>
        </w:rPr>
      </w:pPr>
    </w:p>
    <w:p w:rsidR="003F301A" w:rsidRDefault="003F301A" w:rsidP="003F301A">
      <w:pPr>
        <w:spacing w:after="0" w:line="240" w:lineRule="auto"/>
        <w:jc w:val="center"/>
        <w:rPr>
          <w:rFonts w:ascii="Times" w:eastAsia="Times New Roman" w:hAnsi="Times" w:cs="Times New Roman"/>
          <w:b/>
          <w:sz w:val="28"/>
          <w:szCs w:val="24"/>
        </w:rPr>
      </w:pPr>
    </w:p>
    <w:p w:rsidR="003F301A" w:rsidRDefault="003F301A" w:rsidP="003F301A">
      <w:pPr>
        <w:spacing w:after="0" w:line="240" w:lineRule="auto"/>
        <w:jc w:val="center"/>
        <w:rPr>
          <w:rFonts w:ascii="Times" w:eastAsia="Times New Roman" w:hAnsi="Times" w:cs="Times New Roman"/>
          <w:b/>
          <w:sz w:val="28"/>
          <w:szCs w:val="24"/>
        </w:rPr>
      </w:pPr>
    </w:p>
    <w:p w:rsidR="003F301A" w:rsidRDefault="003F301A" w:rsidP="003F301A">
      <w:pPr>
        <w:spacing w:after="0" w:line="240" w:lineRule="auto"/>
        <w:jc w:val="center"/>
        <w:rPr>
          <w:rFonts w:ascii="Times" w:eastAsia="Times New Roman" w:hAnsi="Times" w:cs="Times New Roman"/>
          <w:b/>
          <w:sz w:val="28"/>
          <w:szCs w:val="24"/>
        </w:rPr>
      </w:pPr>
    </w:p>
    <w:p w:rsidR="003F301A" w:rsidRDefault="003F301A" w:rsidP="003F301A">
      <w:pPr>
        <w:spacing w:after="0" w:line="240" w:lineRule="auto"/>
        <w:jc w:val="center"/>
        <w:rPr>
          <w:rFonts w:ascii="Times" w:eastAsia="Times New Roman" w:hAnsi="Times" w:cs="Times New Roman"/>
          <w:b/>
          <w:sz w:val="28"/>
          <w:szCs w:val="24"/>
        </w:rPr>
      </w:pPr>
    </w:p>
    <w:p w:rsidR="003F301A" w:rsidRDefault="003F301A" w:rsidP="003F301A">
      <w:pPr>
        <w:spacing w:after="0" w:line="240" w:lineRule="auto"/>
        <w:jc w:val="center"/>
        <w:rPr>
          <w:rFonts w:ascii="Times" w:eastAsia="Times New Roman" w:hAnsi="Times" w:cs="Times New Roman"/>
          <w:b/>
          <w:sz w:val="28"/>
          <w:szCs w:val="24"/>
        </w:rPr>
      </w:pPr>
    </w:p>
    <w:p w:rsidR="003F301A" w:rsidRDefault="003F301A" w:rsidP="003F301A">
      <w:pPr>
        <w:spacing w:after="0" w:line="240" w:lineRule="auto"/>
        <w:jc w:val="center"/>
        <w:rPr>
          <w:rFonts w:ascii="Times" w:eastAsia="Times New Roman" w:hAnsi="Times" w:cs="Times New Roman"/>
          <w:b/>
          <w:sz w:val="28"/>
          <w:szCs w:val="24"/>
        </w:rPr>
      </w:pPr>
    </w:p>
    <w:p w:rsidR="003F301A" w:rsidRDefault="003F301A" w:rsidP="003F301A">
      <w:pPr>
        <w:spacing w:after="0" w:line="240" w:lineRule="auto"/>
        <w:jc w:val="center"/>
        <w:rPr>
          <w:rFonts w:ascii="Times" w:eastAsia="Times New Roman" w:hAnsi="Times" w:cs="Times New Roman"/>
          <w:b/>
          <w:sz w:val="28"/>
          <w:szCs w:val="24"/>
        </w:rPr>
      </w:pPr>
    </w:p>
    <w:p w:rsidR="003F301A" w:rsidRDefault="003F301A" w:rsidP="003F301A">
      <w:pPr>
        <w:spacing w:after="0" w:line="240" w:lineRule="auto"/>
        <w:jc w:val="center"/>
        <w:rPr>
          <w:rFonts w:ascii="Times" w:eastAsia="Times New Roman" w:hAnsi="Times" w:cs="Times New Roman"/>
          <w:b/>
          <w:sz w:val="28"/>
          <w:szCs w:val="24"/>
        </w:rPr>
      </w:pPr>
    </w:p>
    <w:p w:rsidR="003F301A" w:rsidRDefault="003F301A" w:rsidP="003F301A">
      <w:pPr>
        <w:spacing w:after="0" w:line="240" w:lineRule="auto"/>
        <w:jc w:val="center"/>
        <w:rPr>
          <w:rFonts w:ascii="Times" w:eastAsia="Times New Roman" w:hAnsi="Times" w:cs="Times New Roman"/>
          <w:b/>
          <w:sz w:val="28"/>
          <w:szCs w:val="24"/>
        </w:rPr>
      </w:pPr>
    </w:p>
    <w:p w:rsidR="003F301A" w:rsidRDefault="003F301A" w:rsidP="003F301A">
      <w:pPr>
        <w:spacing w:after="0" w:line="240" w:lineRule="auto"/>
        <w:jc w:val="center"/>
        <w:rPr>
          <w:rFonts w:ascii="Times" w:eastAsia="Times New Roman" w:hAnsi="Times" w:cs="Times New Roman"/>
          <w:b/>
          <w:sz w:val="28"/>
          <w:szCs w:val="24"/>
        </w:rPr>
      </w:pPr>
    </w:p>
    <w:p w:rsidR="003F301A" w:rsidRDefault="003F301A" w:rsidP="003F301A">
      <w:pPr>
        <w:spacing w:after="0" w:line="240" w:lineRule="auto"/>
        <w:jc w:val="center"/>
        <w:rPr>
          <w:rFonts w:ascii="Times" w:eastAsia="Times New Roman" w:hAnsi="Times" w:cs="Times New Roman"/>
          <w:b/>
          <w:sz w:val="28"/>
          <w:szCs w:val="24"/>
        </w:rPr>
      </w:pPr>
    </w:p>
    <w:p w:rsidR="003F301A" w:rsidRDefault="003F301A" w:rsidP="003F301A">
      <w:pPr>
        <w:spacing w:after="0" w:line="240" w:lineRule="auto"/>
        <w:jc w:val="center"/>
        <w:rPr>
          <w:rFonts w:ascii="Times" w:eastAsia="Times New Roman" w:hAnsi="Times" w:cs="Times New Roman"/>
          <w:b/>
          <w:sz w:val="28"/>
          <w:szCs w:val="24"/>
        </w:rPr>
      </w:pPr>
    </w:p>
    <w:p w:rsidR="003F301A" w:rsidRDefault="003F301A" w:rsidP="003F301A">
      <w:pPr>
        <w:spacing w:after="0" w:line="240" w:lineRule="auto"/>
        <w:jc w:val="center"/>
        <w:rPr>
          <w:rFonts w:ascii="Times" w:eastAsia="Times New Roman" w:hAnsi="Times" w:cs="Times New Roman"/>
          <w:b/>
          <w:sz w:val="28"/>
          <w:szCs w:val="24"/>
        </w:rPr>
      </w:pPr>
    </w:p>
    <w:p w:rsidR="003F301A" w:rsidRDefault="003F301A" w:rsidP="003F301A">
      <w:pPr>
        <w:spacing w:after="0" w:line="240" w:lineRule="auto"/>
        <w:jc w:val="center"/>
        <w:rPr>
          <w:rFonts w:ascii="Times" w:eastAsia="Times New Roman" w:hAnsi="Times" w:cs="Times New Roman"/>
          <w:b/>
          <w:sz w:val="28"/>
          <w:szCs w:val="24"/>
        </w:rPr>
      </w:pPr>
    </w:p>
    <w:p w:rsidR="003F301A" w:rsidRDefault="003F301A" w:rsidP="003F301A">
      <w:pPr>
        <w:spacing w:after="0" w:line="240" w:lineRule="auto"/>
        <w:jc w:val="center"/>
        <w:rPr>
          <w:rFonts w:ascii="Times" w:eastAsia="Times New Roman" w:hAnsi="Times" w:cs="Times New Roman"/>
          <w:b/>
          <w:sz w:val="28"/>
          <w:szCs w:val="24"/>
        </w:rPr>
      </w:pPr>
    </w:p>
    <w:p w:rsidR="003F301A" w:rsidRDefault="003F301A" w:rsidP="003F301A">
      <w:pPr>
        <w:spacing w:after="0" w:line="240" w:lineRule="auto"/>
        <w:jc w:val="center"/>
        <w:rPr>
          <w:rFonts w:ascii="Times" w:eastAsia="Times New Roman" w:hAnsi="Times" w:cs="Times New Roman"/>
          <w:b/>
          <w:sz w:val="28"/>
          <w:szCs w:val="24"/>
        </w:rPr>
      </w:pPr>
    </w:p>
    <w:p w:rsidR="003F301A" w:rsidRDefault="003F301A" w:rsidP="003F301A">
      <w:pPr>
        <w:spacing w:after="0" w:line="240" w:lineRule="auto"/>
        <w:jc w:val="center"/>
        <w:rPr>
          <w:rFonts w:ascii="Times" w:eastAsia="Times New Roman" w:hAnsi="Times" w:cs="Times New Roman"/>
          <w:b/>
          <w:sz w:val="28"/>
          <w:szCs w:val="24"/>
        </w:rPr>
      </w:pPr>
    </w:p>
    <w:p w:rsidR="003F301A" w:rsidRDefault="003F301A" w:rsidP="003F301A">
      <w:pPr>
        <w:spacing w:after="0" w:line="240" w:lineRule="auto"/>
        <w:jc w:val="center"/>
        <w:rPr>
          <w:rFonts w:ascii="Times" w:eastAsia="Times New Roman" w:hAnsi="Times" w:cs="Times New Roman"/>
          <w:b/>
          <w:sz w:val="28"/>
          <w:szCs w:val="24"/>
        </w:rPr>
      </w:pPr>
    </w:p>
    <w:p w:rsidR="003F301A" w:rsidRDefault="003F301A" w:rsidP="003F301A">
      <w:pPr>
        <w:spacing w:after="0" w:line="240" w:lineRule="auto"/>
        <w:jc w:val="center"/>
        <w:rPr>
          <w:rFonts w:ascii="Times" w:eastAsia="Times New Roman" w:hAnsi="Times" w:cs="Times New Roman"/>
          <w:b/>
          <w:sz w:val="28"/>
          <w:szCs w:val="24"/>
        </w:rPr>
      </w:pPr>
    </w:p>
    <w:p w:rsidR="00D85B49" w:rsidRDefault="00D85B49" w:rsidP="003F301A">
      <w:pPr>
        <w:spacing w:after="0" w:line="240" w:lineRule="auto"/>
        <w:jc w:val="center"/>
        <w:rPr>
          <w:rFonts w:ascii="Times" w:eastAsia="Times New Roman" w:hAnsi="Times" w:cs="Times New Roman"/>
          <w:b/>
          <w:sz w:val="28"/>
          <w:szCs w:val="24"/>
        </w:rPr>
      </w:pPr>
    </w:p>
    <w:p w:rsidR="00D85B49" w:rsidRDefault="00D85B49" w:rsidP="003F301A">
      <w:pPr>
        <w:spacing w:after="0" w:line="240" w:lineRule="auto"/>
        <w:jc w:val="center"/>
        <w:rPr>
          <w:rFonts w:ascii="Times" w:eastAsia="Times New Roman" w:hAnsi="Times" w:cs="Times New Roman"/>
          <w:b/>
          <w:sz w:val="28"/>
          <w:szCs w:val="24"/>
        </w:rPr>
      </w:pPr>
    </w:p>
    <w:p w:rsidR="003F301A" w:rsidRPr="00441F61" w:rsidRDefault="003F301A" w:rsidP="003F301A">
      <w:pPr>
        <w:spacing w:after="0" w:line="240" w:lineRule="auto"/>
        <w:jc w:val="center"/>
        <w:rPr>
          <w:rFonts w:ascii="Times" w:eastAsia="Times New Roman" w:hAnsi="Times" w:cs="Times New Roman"/>
          <w:b/>
          <w:sz w:val="28"/>
          <w:szCs w:val="24"/>
        </w:rPr>
      </w:pPr>
      <w:r w:rsidRPr="00441F61">
        <w:rPr>
          <w:rFonts w:ascii="Times" w:eastAsia="Times New Roman" w:hAnsi="Times" w:cs="Times New Roman"/>
          <w:b/>
          <w:sz w:val="28"/>
          <w:szCs w:val="24"/>
        </w:rPr>
        <w:lastRenderedPageBreak/>
        <w:t>NOTICE</w:t>
      </w:r>
    </w:p>
    <w:p w:rsidR="003F301A" w:rsidRPr="00441F61" w:rsidRDefault="003F301A" w:rsidP="003F301A">
      <w:pPr>
        <w:spacing w:after="0" w:line="240" w:lineRule="auto"/>
        <w:jc w:val="center"/>
        <w:rPr>
          <w:rFonts w:ascii="Times" w:eastAsia="Times New Roman" w:hAnsi="Times" w:cs="Times New Roman"/>
          <w:b/>
          <w:sz w:val="24"/>
          <w:szCs w:val="24"/>
        </w:rPr>
      </w:pPr>
    </w:p>
    <w:p w:rsidR="003F301A" w:rsidRPr="00441F61" w:rsidRDefault="003F301A" w:rsidP="003F301A">
      <w:pPr>
        <w:spacing w:after="0" w:line="240" w:lineRule="auto"/>
        <w:jc w:val="both"/>
        <w:rPr>
          <w:rFonts w:ascii="Times" w:eastAsia="Times New Roman" w:hAnsi="Times" w:cs="Times New Roman"/>
          <w:sz w:val="24"/>
          <w:szCs w:val="24"/>
        </w:rPr>
      </w:pPr>
      <w:r w:rsidRPr="00441F61">
        <w:rPr>
          <w:rFonts w:ascii="Times" w:eastAsia="Times New Roman" w:hAnsi="Times" w:cs="Times New Roman"/>
          <w:sz w:val="24"/>
          <w:szCs w:val="24"/>
        </w:rPr>
        <w:t xml:space="preserve">This technical data was produced for the U. S. Government under Contract Number HHSM-500-2012-00008I, and is subject to Federal Acquisition Regulation Clause 52.227-14, Rights in Data-General.  </w:t>
      </w:r>
    </w:p>
    <w:p w:rsidR="00B20DC4" w:rsidRDefault="00B20DC4" w:rsidP="003F301A">
      <w:pPr>
        <w:spacing w:after="0" w:line="240" w:lineRule="auto"/>
        <w:jc w:val="both"/>
        <w:rPr>
          <w:rFonts w:ascii="Times" w:eastAsia="Times New Roman" w:hAnsi="Times" w:cs="Times New Roman"/>
          <w:sz w:val="24"/>
          <w:szCs w:val="24"/>
        </w:rPr>
      </w:pPr>
    </w:p>
    <w:p w:rsidR="003F301A" w:rsidRPr="00441F61" w:rsidRDefault="003F301A" w:rsidP="003F301A">
      <w:pPr>
        <w:spacing w:after="0" w:line="240" w:lineRule="auto"/>
        <w:jc w:val="both"/>
        <w:rPr>
          <w:rFonts w:ascii="Times" w:eastAsia="Times New Roman" w:hAnsi="Times" w:cs="Times New Roman"/>
          <w:sz w:val="24"/>
          <w:szCs w:val="24"/>
        </w:rPr>
      </w:pPr>
      <w:r w:rsidRPr="00441F61">
        <w:rPr>
          <w:rFonts w:ascii="Times" w:eastAsia="Times New Roman" w:hAnsi="Times" w:cs="Times New Roman"/>
          <w:sz w:val="24"/>
          <w:szCs w:val="24"/>
        </w:rPr>
        <w:t xml:space="preserve">No other use other than that granted to the U. S. Government, or to those acting on behalf of the U. S. Government under that Clause is authorized without the express written permission of The MITRE Corporation. </w:t>
      </w:r>
    </w:p>
    <w:p w:rsidR="00B20DC4" w:rsidRDefault="00B20DC4" w:rsidP="003F301A">
      <w:pPr>
        <w:spacing w:after="0" w:line="240" w:lineRule="auto"/>
        <w:jc w:val="both"/>
        <w:rPr>
          <w:rFonts w:ascii="Times" w:eastAsia="Times New Roman" w:hAnsi="Times" w:cs="Times New Roman"/>
          <w:sz w:val="24"/>
          <w:szCs w:val="24"/>
        </w:rPr>
      </w:pPr>
    </w:p>
    <w:p w:rsidR="003F301A" w:rsidRPr="00441F61" w:rsidRDefault="003F301A" w:rsidP="003F301A">
      <w:pPr>
        <w:spacing w:after="0" w:line="240" w:lineRule="auto"/>
        <w:jc w:val="both"/>
        <w:rPr>
          <w:rFonts w:ascii="Times" w:eastAsia="Times New Roman" w:hAnsi="Times" w:cs="Times New Roman"/>
          <w:sz w:val="24"/>
          <w:szCs w:val="24"/>
        </w:rPr>
      </w:pPr>
      <w:r w:rsidRPr="00441F61">
        <w:rPr>
          <w:rFonts w:ascii="Times" w:eastAsia="Times New Roman" w:hAnsi="Times" w:cs="Times New Roman"/>
          <w:sz w:val="24"/>
          <w:szCs w:val="24"/>
        </w:rPr>
        <w:t xml:space="preserve">For further information, please contact The MITRE Corporation, Contracts Management Office, 7515 Colshire Drive, McLean, VA  22102-7539, (703) 983-6000.  </w:t>
      </w:r>
    </w:p>
    <w:p w:rsidR="003F301A" w:rsidRDefault="003F301A" w:rsidP="003F301A"/>
    <w:p w:rsidR="003F301A" w:rsidRDefault="003F301A" w:rsidP="003F301A">
      <w:pPr>
        <w:spacing w:after="0" w:line="300" w:lineRule="exact"/>
        <w:rPr>
          <w:rFonts w:ascii="Calibri" w:eastAsia="Calibri" w:hAnsi="Calibri" w:cs="Times New Roman"/>
          <w:b/>
          <w:kern w:val="24"/>
          <w:sz w:val="24"/>
          <w:szCs w:val="24"/>
        </w:rPr>
      </w:pPr>
    </w:p>
    <w:p w:rsidR="003F301A" w:rsidRDefault="003F301A" w:rsidP="003F301A">
      <w:pPr>
        <w:spacing w:after="0" w:line="300" w:lineRule="exact"/>
        <w:rPr>
          <w:rFonts w:ascii="Calibri" w:eastAsia="Calibri" w:hAnsi="Calibri" w:cs="Times New Roman"/>
          <w:b/>
          <w:kern w:val="24"/>
          <w:sz w:val="24"/>
          <w:szCs w:val="24"/>
        </w:rPr>
      </w:pPr>
    </w:p>
    <w:p w:rsidR="003F301A" w:rsidRDefault="003F301A" w:rsidP="003F301A">
      <w:pPr>
        <w:spacing w:after="0" w:line="300" w:lineRule="exact"/>
        <w:rPr>
          <w:rFonts w:ascii="Calibri" w:eastAsia="Calibri" w:hAnsi="Calibri" w:cs="Times New Roman"/>
          <w:b/>
          <w:kern w:val="24"/>
          <w:sz w:val="24"/>
          <w:szCs w:val="24"/>
        </w:rPr>
      </w:pPr>
      <w:bookmarkStart w:id="0" w:name="_GoBack"/>
      <w:bookmarkEnd w:id="0"/>
    </w:p>
    <w:p w:rsidR="003F301A" w:rsidRDefault="003F301A" w:rsidP="003F301A">
      <w:pPr>
        <w:spacing w:after="0" w:line="300" w:lineRule="exact"/>
        <w:rPr>
          <w:rFonts w:ascii="Calibri" w:eastAsia="Calibri" w:hAnsi="Calibri" w:cs="Times New Roman"/>
          <w:b/>
          <w:kern w:val="24"/>
          <w:sz w:val="24"/>
          <w:szCs w:val="24"/>
        </w:rPr>
      </w:pPr>
    </w:p>
    <w:p w:rsidR="003F301A" w:rsidRDefault="003F301A" w:rsidP="003F301A">
      <w:pPr>
        <w:spacing w:after="0" w:line="300" w:lineRule="exact"/>
        <w:rPr>
          <w:rFonts w:ascii="Calibri" w:eastAsia="Calibri" w:hAnsi="Calibri" w:cs="Times New Roman"/>
          <w:b/>
          <w:kern w:val="24"/>
          <w:sz w:val="24"/>
          <w:szCs w:val="24"/>
        </w:rPr>
      </w:pPr>
    </w:p>
    <w:p w:rsidR="003F301A" w:rsidRDefault="003F301A" w:rsidP="003F301A">
      <w:pPr>
        <w:spacing w:after="0" w:line="300" w:lineRule="exact"/>
        <w:rPr>
          <w:rFonts w:ascii="Calibri" w:eastAsia="Calibri" w:hAnsi="Calibri" w:cs="Times New Roman"/>
          <w:b/>
          <w:kern w:val="24"/>
          <w:sz w:val="24"/>
          <w:szCs w:val="24"/>
        </w:rPr>
      </w:pPr>
    </w:p>
    <w:p w:rsidR="003F301A" w:rsidRDefault="003F301A" w:rsidP="003F301A">
      <w:pPr>
        <w:spacing w:after="0" w:line="300" w:lineRule="exact"/>
        <w:rPr>
          <w:rFonts w:ascii="Calibri" w:eastAsia="Calibri" w:hAnsi="Calibri" w:cs="Times New Roman"/>
          <w:b/>
          <w:kern w:val="24"/>
          <w:sz w:val="24"/>
          <w:szCs w:val="24"/>
        </w:rPr>
      </w:pPr>
    </w:p>
    <w:p w:rsidR="003F301A" w:rsidRDefault="003F301A" w:rsidP="003F301A">
      <w:pPr>
        <w:spacing w:after="0" w:line="300" w:lineRule="exact"/>
        <w:rPr>
          <w:rFonts w:ascii="Calibri" w:eastAsia="Calibri" w:hAnsi="Calibri" w:cs="Times New Roman"/>
          <w:b/>
          <w:kern w:val="24"/>
          <w:sz w:val="24"/>
          <w:szCs w:val="24"/>
        </w:rPr>
      </w:pPr>
    </w:p>
    <w:p w:rsidR="003F301A" w:rsidRDefault="003F301A" w:rsidP="003F301A"/>
    <w:p w:rsidR="002C1C75" w:rsidRDefault="003F521C"/>
    <w:sectPr w:rsidR="002C1C7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21C" w:rsidRDefault="003F521C">
      <w:pPr>
        <w:spacing w:after="0" w:line="240" w:lineRule="auto"/>
      </w:pPr>
      <w:r>
        <w:separator/>
      </w:r>
    </w:p>
  </w:endnote>
  <w:endnote w:type="continuationSeparator" w:id="0">
    <w:p w:rsidR="003F521C" w:rsidRDefault="003F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136923"/>
      <w:docPartObj>
        <w:docPartGallery w:val="Page Numbers (Bottom of Page)"/>
        <w:docPartUnique/>
      </w:docPartObj>
    </w:sdtPr>
    <w:sdtEndPr>
      <w:rPr>
        <w:noProof/>
      </w:rPr>
    </w:sdtEndPr>
    <w:sdtContent>
      <w:p w:rsidR="009C549E" w:rsidRPr="00655D79" w:rsidRDefault="00D85B49" w:rsidP="009C549E">
        <w:pPr>
          <w:pBdr>
            <w:top w:val="single" w:sz="4" w:space="2" w:color="BFBFBF"/>
          </w:pBdr>
          <w:tabs>
            <w:tab w:val="right" w:pos="9360"/>
          </w:tabs>
          <w:spacing w:after="0" w:line="240" w:lineRule="auto"/>
          <w:rPr>
            <w:rFonts w:ascii="Calibri" w:eastAsia="Times New Roman" w:hAnsi="Calibri" w:cs="Arial"/>
            <w:sz w:val="20"/>
            <w:szCs w:val="20"/>
          </w:rPr>
        </w:pPr>
        <w:r w:rsidRPr="00655D79">
          <w:rPr>
            <w:rFonts w:ascii="Calibri" w:eastAsia="Times New Roman" w:hAnsi="Calibri" w:cs="Arial"/>
            <w:i/>
            <w:sz w:val="20"/>
            <w:szCs w:val="20"/>
          </w:rPr>
          <w:t xml:space="preserve">CDS Connect </w:t>
        </w:r>
      </w:p>
      <w:p w:rsidR="009C549E" w:rsidRPr="002F30FF" w:rsidRDefault="00D85B49" w:rsidP="009C549E">
        <w:pPr>
          <w:pBdr>
            <w:top w:val="single" w:sz="4" w:space="2" w:color="BFBFBF"/>
          </w:pBdr>
          <w:tabs>
            <w:tab w:val="right" w:pos="9360"/>
          </w:tabs>
          <w:spacing w:after="0" w:line="240" w:lineRule="auto"/>
          <w:rPr>
            <w:rFonts w:ascii="Calibri" w:eastAsia="Times New Roman" w:hAnsi="Calibri" w:cs="Arial"/>
            <w:sz w:val="20"/>
            <w:szCs w:val="20"/>
          </w:rPr>
        </w:pPr>
        <w:r>
          <w:rPr>
            <w:rFonts w:ascii="Calibri" w:eastAsia="Times New Roman" w:hAnsi="Calibri" w:cs="Arial"/>
            <w:sz w:val="20"/>
            <w:szCs w:val="20"/>
          </w:rPr>
          <w:t>Cholesterol Management</w:t>
        </w:r>
        <w:r w:rsidRPr="00655D79">
          <w:rPr>
            <w:rFonts w:ascii="Calibri" w:eastAsia="Times New Roman" w:hAnsi="Calibri" w:cs="Arial"/>
            <w:sz w:val="20"/>
            <w:szCs w:val="20"/>
          </w:rPr>
          <w:t xml:space="preserve"> Work </w:t>
        </w:r>
        <w:r w:rsidRPr="002F30FF">
          <w:rPr>
            <w:rFonts w:ascii="Calibri" w:eastAsia="Times New Roman" w:hAnsi="Calibri" w:cs="Arial"/>
            <w:sz w:val="20"/>
            <w:szCs w:val="20"/>
          </w:rPr>
          <w:t>Group</w:t>
        </w:r>
      </w:p>
      <w:p w:rsidR="009C549E" w:rsidRPr="00655D79" w:rsidRDefault="00D85B49" w:rsidP="009C549E">
        <w:pPr>
          <w:spacing w:after="0" w:line="240" w:lineRule="auto"/>
          <w:jc w:val="center"/>
          <w:rPr>
            <w:rFonts w:ascii="Calibri" w:eastAsia="Times New Roman" w:hAnsi="Calibri" w:cs="Times New Roman"/>
            <w:b/>
            <w:bCs/>
            <w:sz w:val="24"/>
            <w:szCs w:val="24"/>
          </w:rPr>
        </w:pPr>
        <w:r w:rsidRPr="00655D79">
          <w:rPr>
            <w:rFonts w:ascii="Calibri" w:eastAsia="Times New Roman" w:hAnsi="Calibri" w:cs="Times New Roman"/>
            <w:b/>
            <w:bCs/>
            <w:sz w:val="24"/>
            <w:szCs w:val="24"/>
          </w:rPr>
          <w:t xml:space="preserve">Approved for Public Release. Distribution Unlimited. Case Number </w:t>
        </w:r>
        <w:r w:rsidRPr="00655D79">
          <w:rPr>
            <w:rFonts w:ascii="Calibri" w:eastAsia="Times New Roman" w:hAnsi="Calibri" w:cs="Times New Roman"/>
            <w:b/>
            <w:color w:val="000000"/>
            <w:sz w:val="24"/>
            <w:szCs w:val="24"/>
          </w:rPr>
          <w:t>17-0975</w:t>
        </w:r>
        <w:r w:rsidRPr="00655D79">
          <w:rPr>
            <w:rFonts w:ascii="Calibri" w:eastAsia="Times New Roman" w:hAnsi="Calibri" w:cs="Times New Roman"/>
            <w:b/>
            <w:bCs/>
            <w:sz w:val="24"/>
            <w:szCs w:val="24"/>
          </w:rPr>
          <w:t xml:space="preserve">. </w:t>
        </w:r>
      </w:p>
      <w:p w:rsidR="009C549E" w:rsidRPr="00655D79" w:rsidRDefault="00D85B49" w:rsidP="009C549E">
        <w:pPr>
          <w:spacing w:after="0" w:line="240" w:lineRule="auto"/>
          <w:jc w:val="center"/>
          <w:rPr>
            <w:rFonts w:ascii="Calibri" w:eastAsia="Times New Roman" w:hAnsi="Calibri" w:cs="Times New Roman"/>
            <w:b/>
            <w:sz w:val="24"/>
            <w:szCs w:val="24"/>
            <w:u w:val="single"/>
          </w:rPr>
        </w:pPr>
        <w:r w:rsidRPr="00655D79">
          <w:rPr>
            <w:rFonts w:ascii="Calibri" w:eastAsia="Times New Roman" w:hAnsi="Calibri" w:cs="Times New Roman"/>
            <w:b/>
            <w:sz w:val="24"/>
            <w:szCs w:val="24"/>
            <w:u w:val="single"/>
          </w:rPr>
          <w:sym w:font="Symbol" w:char="F0E3"/>
        </w:r>
        <w:r w:rsidRPr="00655D79">
          <w:rPr>
            <w:rFonts w:ascii="Calibri" w:eastAsia="Times New Roman" w:hAnsi="Calibri" w:cs="Times New Roman"/>
            <w:b/>
            <w:sz w:val="24"/>
            <w:szCs w:val="24"/>
            <w:u w:val="single"/>
          </w:rPr>
          <w:t xml:space="preserve"> 2017 The MITRE Corporation.</w:t>
        </w:r>
      </w:p>
      <w:p w:rsidR="009C549E" w:rsidRDefault="00D85B49">
        <w:pPr>
          <w:pStyle w:val="Footer"/>
          <w:jc w:val="right"/>
        </w:pPr>
        <w:r>
          <w:fldChar w:fldCharType="begin"/>
        </w:r>
        <w:r>
          <w:instrText xml:space="preserve"> PAGE   \* MERGEFORMAT </w:instrText>
        </w:r>
        <w:r>
          <w:fldChar w:fldCharType="separate"/>
        </w:r>
        <w:r w:rsidR="00B20DC4">
          <w:rPr>
            <w:noProof/>
          </w:rPr>
          <w:t>5</w:t>
        </w:r>
        <w:r>
          <w:rPr>
            <w:noProof/>
          </w:rPr>
          <w:fldChar w:fldCharType="end"/>
        </w:r>
      </w:p>
    </w:sdtContent>
  </w:sdt>
  <w:p w:rsidR="009C549E" w:rsidRDefault="003F521C">
    <w:pPr>
      <w:pStyle w:val="Footer"/>
    </w:pPr>
  </w:p>
  <w:p w:rsidR="00537ABF" w:rsidRDefault="00537A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21C" w:rsidRDefault="003F521C">
      <w:pPr>
        <w:spacing w:after="0" w:line="240" w:lineRule="auto"/>
      </w:pPr>
      <w:r>
        <w:separator/>
      </w:r>
    </w:p>
  </w:footnote>
  <w:footnote w:type="continuationSeparator" w:id="0">
    <w:p w:rsidR="003F521C" w:rsidRDefault="003F5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2E3F"/>
    <w:multiLevelType w:val="hybridMultilevel"/>
    <w:tmpl w:val="A8B8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417F2"/>
    <w:multiLevelType w:val="hybridMultilevel"/>
    <w:tmpl w:val="98E8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D6F1B"/>
    <w:multiLevelType w:val="hybridMultilevel"/>
    <w:tmpl w:val="67E66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30031"/>
    <w:multiLevelType w:val="hybridMultilevel"/>
    <w:tmpl w:val="1EC84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51687"/>
    <w:multiLevelType w:val="hybridMultilevel"/>
    <w:tmpl w:val="FB745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B7289"/>
    <w:multiLevelType w:val="hybridMultilevel"/>
    <w:tmpl w:val="A4B8B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76AE2"/>
    <w:multiLevelType w:val="hybridMultilevel"/>
    <w:tmpl w:val="562C3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349C8"/>
    <w:multiLevelType w:val="hybridMultilevel"/>
    <w:tmpl w:val="A732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32D3B"/>
    <w:multiLevelType w:val="hybridMultilevel"/>
    <w:tmpl w:val="4FC49D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01FF9"/>
    <w:multiLevelType w:val="hybridMultilevel"/>
    <w:tmpl w:val="966E9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15167"/>
    <w:multiLevelType w:val="hybridMultilevel"/>
    <w:tmpl w:val="405EE4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45BF7"/>
    <w:multiLevelType w:val="hybridMultilevel"/>
    <w:tmpl w:val="DB12B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B03162"/>
    <w:multiLevelType w:val="hybridMultilevel"/>
    <w:tmpl w:val="5A56193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160A81"/>
    <w:multiLevelType w:val="hybridMultilevel"/>
    <w:tmpl w:val="68E2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97964"/>
    <w:multiLevelType w:val="hybridMultilevel"/>
    <w:tmpl w:val="7C5C7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F73E57"/>
    <w:multiLevelType w:val="hybridMultilevel"/>
    <w:tmpl w:val="B6CE7A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14"/>
  </w:num>
  <w:num w:numId="5">
    <w:abstractNumId w:val="2"/>
  </w:num>
  <w:num w:numId="6">
    <w:abstractNumId w:val="15"/>
  </w:num>
  <w:num w:numId="7">
    <w:abstractNumId w:val="8"/>
  </w:num>
  <w:num w:numId="8">
    <w:abstractNumId w:val="12"/>
  </w:num>
  <w:num w:numId="9">
    <w:abstractNumId w:val="6"/>
  </w:num>
  <w:num w:numId="10">
    <w:abstractNumId w:val="0"/>
  </w:num>
  <w:num w:numId="11">
    <w:abstractNumId w:val="11"/>
  </w:num>
  <w:num w:numId="12">
    <w:abstractNumId w:val="10"/>
  </w:num>
  <w:num w:numId="13">
    <w:abstractNumId w:val="9"/>
  </w:num>
  <w:num w:numId="14">
    <w:abstractNumId w:val="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1A"/>
    <w:rsid w:val="001725CC"/>
    <w:rsid w:val="003F301A"/>
    <w:rsid w:val="003F521C"/>
    <w:rsid w:val="00537ABF"/>
    <w:rsid w:val="00614611"/>
    <w:rsid w:val="006B2521"/>
    <w:rsid w:val="00702B96"/>
    <w:rsid w:val="00843CE5"/>
    <w:rsid w:val="008767D9"/>
    <w:rsid w:val="008813ED"/>
    <w:rsid w:val="008C6889"/>
    <w:rsid w:val="00972381"/>
    <w:rsid w:val="009D1C02"/>
    <w:rsid w:val="00A6596F"/>
    <w:rsid w:val="00B20DC4"/>
    <w:rsid w:val="00C46760"/>
    <w:rsid w:val="00CB7D06"/>
    <w:rsid w:val="00D8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ACD3"/>
  <w15:chartTrackingRefBased/>
  <w15:docId w15:val="{91EE64DC-3782-43EF-929E-D4CCBA58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301A"/>
  </w:style>
  <w:style w:type="paragraph" w:styleId="Heading2">
    <w:name w:val="heading 2"/>
    <w:basedOn w:val="Normal"/>
    <w:next w:val="Normal"/>
    <w:link w:val="Heading2Char"/>
    <w:uiPriority w:val="9"/>
    <w:unhideWhenUsed/>
    <w:qFormat/>
    <w:rsid w:val="003F30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30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301A"/>
    <w:rPr>
      <w:rFonts w:asciiTheme="majorHAnsi" w:eastAsiaTheme="majorEastAsia" w:hAnsiTheme="majorHAnsi" w:cstheme="majorBidi"/>
      <w:color w:val="2E74B5" w:themeColor="accent1" w:themeShade="BF"/>
      <w:sz w:val="26"/>
      <w:szCs w:val="26"/>
    </w:rPr>
  </w:style>
  <w:style w:type="table" w:styleId="TableGridLight">
    <w:name w:val="Grid Table Light"/>
    <w:basedOn w:val="TableNormal"/>
    <w:uiPriority w:val="40"/>
    <w:rsid w:val="003F301A"/>
    <w:pPr>
      <w:spacing w:after="0" w:line="240" w:lineRule="auto"/>
    </w:pPr>
    <w:rPr>
      <w:rFonts w:ascii="Cambria" w:eastAsia="Cambria" w:hAnsi="Cambria"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3F3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01A"/>
  </w:style>
  <w:style w:type="paragraph" w:styleId="BodyText">
    <w:name w:val="Body Text"/>
    <w:link w:val="BodyTextChar"/>
    <w:qFormat/>
    <w:rsid w:val="003F301A"/>
    <w:pPr>
      <w:spacing w:after="120" w:line="300" w:lineRule="exact"/>
    </w:pPr>
    <w:rPr>
      <w:rFonts w:ascii="Times New Roman" w:eastAsia="Calibri" w:hAnsi="Times New Roman" w:cs="Times New Roman"/>
      <w:color w:val="000000" w:themeColor="text1"/>
      <w:kern w:val="24"/>
      <w:szCs w:val="24"/>
    </w:rPr>
  </w:style>
  <w:style w:type="character" w:customStyle="1" w:styleId="BodyTextChar">
    <w:name w:val="Body Text Char"/>
    <w:basedOn w:val="DefaultParagraphFont"/>
    <w:link w:val="BodyText"/>
    <w:rsid w:val="003F301A"/>
    <w:rPr>
      <w:rFonts w:ascii="Times New Roman" w:eastAsia="Calibri" w:hAnsi="Times New Roman" w:cs="Times New Roman"/>
      <w:color w:val="000000" w:themeColor="text1"/>
      <w:kern w:val="24"/>
      <w:szCs w:val="24"/>
    </w:rPr>
  </w:style>
  <w:style w:type="character" w:styleId="Hyperlink">
    <w:name w:val="Hyperlink"/>
    <w:basedOn w:val="DefaultParagraphFont"/>
    <w:uiPriority w:val="99"/>
    <w:unhideWhenUsed/>
    <w:rsid w:val="003F301A"/>
    <w:rPr>
      <w:color w:val="0563C1" w:themeColor="hyperlink"/>
      <w:u w:val="single"/>
    </w:rPr>
  </w:style>
  <w:style w:type="paragraph" w:styleId="ListParagraph">
    <w:name w:val="List Paragraph"/>
    <w:basedOn w:val="Normal"/>
    <w:uiPriority w:val="34"/>
    <w:qFormat/>
    <w:rsid w:val="003F301A"/>
    <w:pPr>
      <w:ind w:left="720"/>
      <w:contextualSpacing/>
    </w:pPr>
  </w:style>
  <w:style w:type="character" w:customStyle="1" w:styleId="Heading3Char">
    <w:name w:val="Heading 3 Char"/>
    <w:basedOn w:val="DefaultParagraphFont"/>
    <w:link w:val="Heading3"/>
    <w:uiPriority w:val="9"/>
    <w:rsid w:val="003F301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D85B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cms.gov/initiatives/Million-Hearts-CVDRRM/"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reddecisions.mayoclinic.org/"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statindecisionaid.mayoclinic.org/" TargetMode="External"/><Relationship Id="rId4" Type="http://schemas.openxmlformats.org/officeDocument/2006/relationships/webSettings" Target="webSettings.xml"/><Relationship Id="rId9" Type="http://schemas.openxmlformats.org/officeDocument/2006/relationships/hyperlink" Target="https://www.ncbi.nlm.nih.gov/pubmed/274381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MITRE Work" ma:contentTypeID="0x010100823A99C636F7423283FB0D200866C6130056382C4F1CC2BE4B9A43BF7DCBA158EA" ma:contentTypeVersion="1" ma:contentTypeDescription="Materials and documents that contain MITRE authored content and other content directly attributable to MITRE and its work" ma:contentTypeScope="" ma:versionID="524278dce64e47fdcd751af216a6398f">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e207f629e9ef5d09050449f693559770"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Props1.xml><?xml version="1.0" encoding="utf-8"?>
<ds:datastoreItem xmlns:ds="http://schemas.openxmlformats.org/officeDocument/2006/customXml" ds:itemID="{1B97BAEC-BE35-4BDC-9BB2-54AE0208DA1F}"/>
</file>

<file path=customXml/itemProps2.xml><?xml version="1.0" encoding="utf-8"?>
<ds:datastoreItem xmlns:ds="http://schemas.openxmlformats.org/officeDocument/2006/customXml" ds:itemID="{073F14B2-6FA4-4E14-B705-BF0B9953E9BC}"/>
</file>

<file path=customXml/itemProps3.xml><?xml version="1.0" encoding="utf-8"?>
<ds:datastoreItem xmlns:ds="http://schemas.openxmlformats.org/officeDocument/2006/customXml" ds:itemID="{9D01E397-11EB-40EC-A2DD-48BBDC943271}"/>
</file>

<file path=customXml/itemProps4.xml><?xml version="1.0" encoding="utf-8"?>
<ds:datastoreItem xmlns:ds="http://schemas.openxmlformats.org/officeDocument/2006/customXml" ds:itemID="{681123F2-8E5C-40AD-839B-224229E71CED}"/>
</file>

<file path=docProps/app.xml><?xml version="1.0" encoding="utf-8"?>
<Properties xmlns="http://schemas.openxmlformats.org/officeDocument/2006/extended-properties" xmlns:vt="http://schemas.openxmlformats.org/officeDocument/2006/docPropsVTypes">
  <Template>Normal.dotm</Template>
  <TotalTime>34</TotalTime>
  <Pages>6</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Mbawuike, Susan U</dc:creator>
  <cp:keywords/>
  <dc:description/>
  <cp:lastModifiedBy>Mbawuike, Susan U</cp:lastModifiedBy>
  <cp:revision>7</cp:revision>
  <dcterms:created xsi:type="dcterms:W3CDTF">2017-03-02T19:42:00Z</dcterms:created>
  <dcterms:modified xsi:type="dcterms:W3CDTF">2017-06-22T18:33:00Z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0x010100823A99C636F7423283FB0D200866C6130056382C4F1CC2BE4B9A43BF7DCBA158EA</vt:lpwstr>
  </property>
</Properties>
</file>